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"/>
        <w:gridCol w:w="9671"/>
        <w:gridCol w:w="573"/>
      </w:tblGrid>
      <w:tr w:rsidR="00BD3C50">
        <w:trPr>
          <w:trHeight w:val="1433"/>
        </w:trPr>
        <w:tc>
          <w:tcPr>
            <w:tcW w:w="10717" w:type="dxa"/>
            <w:gridSpan w:val="3"/>
          </w:tcPr>
          <w:tbl>
            <w:tblPr>
              <w:tblpPr w:leftFromText="180" w:rightFromText="180" w:vertAnchor="page" w:horzAnchor="margin" w:tblpXSpec="right" w:tblpY="739"/>
              <w:tblOverlap w:val="never"/>
              <w:tblW w:w="0" w:type="auto"/>
              <w:tblBorders>
                <w:insideH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04"/>
            </w:tblGrid>
            <w:tr w:rsidR="00FA1B6B" w:rsidRPr="000A4570" w:rsidTr="00FA1B6B">
              <w:tc>
                <w:tcPr>
                  <w:tcW w:w="4004" w:type="dxa"/>
                </w:tcPr>
                <w:p w:rsidR="00FA1B6B" w:rsidRPr="00FA1B6B" w:rsidRDefault="00FA1B6B" w:rsidP="00FA1B6B">
                  <w:pPr>
                    <w:spacing w:after="24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A1B6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УТВЕРЖДАЮ</w:t>
                  </w:r>
                </w:p>
                <w:p w:rsidR="00FA1B6B" w:rsidRPr="00FA1B6B" w:rsidRDefault="00FA1B6B" w:rsidP="00FA1B6B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A1B6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Губернатор – Председатель Правительства Кировской области </w:t>
                  </w:r>
                </w:p>
                <w:p w:rsidR="00FA1B6B" w:rsidRPr="00FA1B6B" w:rsidRDefault="00FA1B6B" w:rsidP="00FA1B6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FA1B6B" w:rsidRPr="00FA1B6B" w:rsidRDefault="00FA1B6B" w:rsidP="00FA1B6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______________И.В. Васильев</w:t>
                  </w:r>
                </w:p>
                <w:p w:rsidR="00FA1B6B" w:rsidRPr="00FA1B6B" w:rsidRDefault="00FA1B6B" w:rsidP="00FA1B6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FA1B6B" w:rsidRPr="00FA1B6B" w:rsidRDefault="00FA1B6B" w:rsidP="00FA1B6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A1B6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«____»_______________201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9</w:t>
                  </w:r>
                  <w:r w:rsidRPr="00FA1B6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г.</w:t>
                  </w:r>
                </w:p>
                <w:p w:rsidR="00FA1B6B" w:rsidRPr="000A4570" w:rsidRDefault="00FA1B6B" w:rsidP="00FA1B6B">
                  <w:pPr>
                    <w:spacing w:line="360" w:lineRule="exact"/>
                    <w:rPr>
                      <w:spacing w:val="1"/>
                      <w:sz w:val="28"/>
                      <w:szCs w:val="28"/>
                    </w:rPr>
                  </w:pPr>
                </w:p>
              </w:tc>
            </w:tr>
          </w:tbl>
          <w:p w:rsidR="00BD3C50" w:rsidRDefault="00BD3C50">
            <w:bookmarkStart w:id="0" w:name="_GoBack"/>
            <w:bookmarkEnd w:id="0"/>
          </w:p>
        </w:tc>
      </w:tr>
      <w:tr w:rsidR="00BD3C50">
        <w:trPr>
          <w:trHeight w:val="1375"/>
        </w:trPr>
        <w:tc>
          <w:tcPr>
            <w:tcW w:w="10717" w:type="dxa"/>
            <w:gridSpan w:val="3"/>
          </w:tcPr>
          <w:p w:rsidR="00BD3C50" w:rsidRDefault="00BD3C50"/>
        </w:tc>
      </w:tr>
      <w:tr w:rsidR="00BD3C50">
        <w:trPr>
          <w:trHeight w:val="1361"/>
        </w:trPr>
        <w:tc>
          <w:tcPr>
            <w:tcW w:w="10717" w:type="dxa"/>
            <w:gridSpan w:val="3"/>
          </w:tcPr>
          <w:p w:rsidR="00BD3C50" w:rsidRDefault="00BD3C50"/>
        </w:tc>
      </w:tr>
      <w:tr w:rsidR="00BD3C50">
        <w:trPr>
          <w:trHeight w:val="1075"/>
        </w:trPr>
        <w:tc>
          <w:tcPr>
            <w:tcW w:w="473" w:type="dxa"/>
          </w:tcPr>
          <w:p w:rsidR="00BD3C50" w:rsidRDefault="00BD3C50"/>
        </w:tc>
        <w:tc>
          <w:tcPr>
            <w:tcW w:w="9671" w:type="dxa"/>
            <w:vMerge w:val="restart"/>
            <w:shd w:val="clear" w:color="auto" w:fill="auto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t xml:space="preserve">КОМПЛЕКСНЫЙ ПЛАН 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t xml:space="preserve">ТРАНСПОРТНОГО ОБСЛУЖИВАНИЯ НАСЕЛЕНИЯ 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t xml:space="preserve">(Кировская область) 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t>НА СРЕДН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t xml:space="preserve"> И ДОЛГОСРОЧНУЮ ПЕРСПЕКТИВУ (ДО 2030 ГОДА)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t>В ЧАСТИ ПРИГОРОДНЫХ ПАССАЖИРСКИХ ПЕРЕВОЗОК</w:t>
            </w:r>
          </w:p>
        </w:tc>
        <w:tc>
          <w:tcPr>
            <w:tcW w:w="573" w:type="dxa"/>
          </w:tcPr>
          <w:p w:rsidR="00BD3C50" w:rsidRDefault="00BD3C50"/>
        </w:tc>
      </w:tr>
      <w:tr w:rsidR="00BD3C50">
        <w:trPr>
          <w:trHeight w:val="1075"/>
        </w:trPr>
        <w:tc>
          <w:tcPr>
            <w:tcW w:w="473" w:type="dxa"/>
          </w:tcPr>
          <w:p w:rsidR="00BD3C50" w:rsidRDefault="00BD3C50"/>
        </w:tc>
        <w:tc>
          <w:tcPr>
            <w:tcW w:w="9671" w:type="dxa"/>
            <w:vMerge/>
            <w:shd w:val="clear" w:color="auto" w:fill="auto"/>
          </w:tcPr>
          <w:p w:rsidR="00BD3C50" w:rsidRDefault="00BD3C50"/>
        </w:tc>
        <w:tc>
          <w:tcPr>
            <w:tcW w:w="573" w:type="dxa"/>
          </w:tcPr>
          <w:p w:rsidR="00BD3C50" w:rsidRDefault="00BD3C50"/>
        </w:tc>
      </w:tr>
      <w:tr w:rsidR="00BD3C50">
        <w:trPr>
          <w:trHeight w:val="1432"/>
        </w:trPr>
        <w:tc>
          <w:tcPr>
            <w:tcW w:w="10717" w:type="dxa"/>
            <w:gridSpan w:val="3"/>
          </w:tcPr>
          <w:p w:rsidR="00BD3C50" w:rsidRDefault="00BD3C50"/>
        </w:tc>
      </w:tr>
      <w:tr w:rsidR="00BD3C50">
        <w:trPr>
          <w:trHeight w:val="1433"/>
        </w:trPr>
        <w:tc>
          <w:tcPr>
            <w:tcW w:w="10717" w:type="dxa"/>
            <w:gridSpan w:val="3"/>
          </w:tcPr>
          <w:p w:rsidR="00BD3C50" w:rsidRDefault="00BD3C50"/>
        </w:tc>
      </w:tr>
      <w:tr w:rsidR="00BD3C50">
        <w:trPr>
          <w:trHeight w:val="1433"/>
        </w:trPr>
        <w:tc>
          <w:tcPr>
            <w:tcW w:w="10717" w:type="dxa"/>
            <w:gridSpan w:val="3"/>
          </w:tcPr>
          <w:p w:rsidR="00BD3C50" w:rsidRDefault="00BD3C50"/>
        </w:tc>
      </w:tr>
      <w:tr w:rsidR="00BD3C50">
        <w:trPr>
          <w:trHeight w:val="1433"/>
        </w:trPr>
        <w:tc>
          <w:tcPr>
            <w:tcW w:w="10717" w:type="dxa"/>
            <w:gridSpan w:val="3"/>
          </w:tcPr>
          <w:p w:rsidR="00BD3C50" w:rsidRDefault="00BD3C50"/>
        </w:tc>
      </w:tr>
      <w:tr w:rsidR="00BD3C50">
        <w:trPr>
          <w:trHeight w:val="1433"/>
        </w:trPr>
        <w:tc>
          <w:tcPr>
            <w:tcW w:w="10717" w:type="dxa"/>
            <w:gridSpan w:val="3"/>
          </w:tcPr>
          <w:p w:rsidR="00BD3C50" w:rsidRDefault="00BD3C50"/>
        </w:tc>
      </w:tr>
      <w:tr w:rsidR="00BD3C50">
        <w:trPr>
          <w:trHeight w:val="1074"/>
        </w:trPr>
        <w:tc>
          <w:tcPr>
            <w:tcW w:w="10717" w:type="dxa"/>
            <w:gridSpan w:val="3"/>
          </w:tcPr>
          <w:p w:rsidR="00BD3C50" w:rsidRDefault="00BD3C50"/>
        </w:tc>
      </w:tr>
      <w:tr w:rsidR="00BD3C50">
        <w:trPr>
          <w:trHeight w:val="1075"/>
        </w:trPr>
        <w:tc>
          <w:tcPr>
            <w:tcW w:w="10717" w:type="dxa"/>
            <w:gridSpan w:val="3"/>
          </w:tcPr>
          <w:p w:rsidR="00BD3C50" w:rsidRDefault="00BD3C50"/>
        </w:tc>
      </w:tr>
      <w:tr w:rsidR="00BD3C50">
        <w:tc>
          <w:tcPr>
            <w:tcW w:w="10717" w:type="dxa"/>
            <w:gridSpan w:val="3"/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32"/>
              </w:rPr>
              <w:t>Введение</w:t>
            </w:r>
          </w:p>
        </w:tc>
      </w:tr>
      <w:tr w:rsidR="00BD3C50">
        <w:tc>
          <w:tcPr>
            <w:tcW w:w="10717" w:type="dxa"/>
            <w:gridSpan w:val="3"/>
            <w:shd w:val="clear" w:color="auto" w:fill="auto"/>
          </w:tcPr>
          <w:p w:rsidR="00BD3C50" w:rsidRDefault="00E022C0">
            <w:pPr>
              <w:pStyle w:val="p"/>
              <w:spacing w:after="240"/>
              <w:rPr>
                <w:rFonts w:eastAsia="Times New Roman" w:hint="default"/>
                <w:noProof/>
              </w:rPr>
            </w:pPr>
            <w:proofErr w:type="gramStart"/>
            <w:r>
              <w:rPr>
                <w:rFonts w:eastAsia="Times New Roman"/>
                <w:noProof/>
                <w:sz w:val="24"/>
              </w:rPr>
              <w:t>Комплексный план транспортного обслуживания населения Кировской области на средне- и долгосрочную перспективу (до 2030 года) в части пригородных пассажирских перевозок (далее – КПТО) разработан в соответствии с Методическими рекомендациями по формированию комплексного плана транспортного обслуживания населения субъектом Российской Федерации на средне- и долгосрочную перспективу в части пригородных пассажирских перевозок, разработанными Министерством транспорта Российской Федерации.</w:t>
            </w:r>
            <w:proofErr w:type="gramEnd"/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proofErr w:type="gramStart"/>
            <w:r>
              <w:rPr>
                <w:rFonts w:eastAsia="Times New Roman"/>
                <w:noProof/>
                <w:sz w:val="24"/>
              </w:rPr>
              <w:t>Под пригородными перевозками в настоящем документе понимаются перевозки, осуществляемые железнодорожным транспортом в пределах Кировской области по сообщениям, включенным в Реестр пригородных железнодорожных сообщений, а также пригородными и межмуниципальными автобусами и внутренним водным транспортом по маршрутам, включенным в Реестр маршрутов пригородного транспорта.</w:t>
            </w:r>
            <w:proofErr w:type="gramEnd"/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i/>
                <w:iCs/>
                <w:noProof/>
                <w:sz w:val="24"/>
              </w:rPr>
              <w:t>Целями разработки настоящего плана являются:</w:t>
            </w:r>
          </w:p>
          <w:p w:rsidR="00BD3C50" w:rsidRDefault="00E022C0">
            <w:pPr>
              <w:pStyle w:val="li"/>
              <w:numPr>
                <w:ilvl w:val="0"/>
                <w:numId w:val="11"/>
              </w:numPr>
              <w:spacing w:before="240"/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повышение качества и эффективности транспортного обслуживания населения Кировской области в части пригородных перевозок;</w:t>
            </w:r>
          </w:p>
          <w:p w:rsidR="00BD3C50" w:rsidRDefault="00E022C0">
            <w:pPr>
              <w:pStyle w:val="li"/>
              <w:numPr>
                <w:ilvl w:val="0"/>
                <w:numId w:val="11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определение направления развития транспортной системы на долгосрочную перспективу;</w:t>
            </w:r>
          </w:p>
          <w:p w:rsidR="00BD3C50" w:rsidRDefault="00E022C0">
            <w:pPr>
              <w:pStyle w:val="li"/>
              <w:numPr>
                <w:ilvl w:val="0"/>
                <w:numId w:val="11"/>
              </w:numPr>
              <w:spacing w:after="240"/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повышение инвестиционной привлекательности пригородных перевозок за счет создания долгосрочных прозрачных и предсказуемых условий развития комплекса.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i/>
                <w:iCs/>
                <w:noProof/>
                <w:sz w:val="24"/>
              </w:rPr>
              <w:t>Настоящий КПТО:</w:t>
            </w:r>
          </w:p>
          <w:p w:rsidR="00BD3C50" w:rsidRDefault="00E022C0">
            <w:pPr>
              <w:pStyle w:val="li"/>
              <w:numPr>
                <w:ilvl w:val="0"/>
                <w:numId w:val="12"/>
              </w:numPr>
              <w:spacing w:before="240"/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устанавливает основные цели и приоритеты транспортного развития Кировской области;</w:t>
            </w:r>
          </w:p>
          <w:p w:rsidR="00BD3C50" w:rsidRDefault="00E022C0">
            <w:pPr>
              <w:pStyle w:val="li"/>
              <w:numPr>
                <w:ilvl w:val="0"/>
                <w:numId w:val="12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определяет ключевые направления развития пригородного комплекса Кировской области;</w:t>
            </w:r>
          </w:p>
          <w:p w:rsidR="00BD3C50" w:rsidRDefault="00E022C0">
            <w:pPr>
              <w:pStyle w:val="li"/>
              <w:numPr>
                <w:ilvl w:val="0"/>
                <w:numId w:val="12"/>
              </w:numPr>
              <w:spacing w:after="240"/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определяет требования к параметрам регионального транспортного заказа.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proofErr w:type="gramStart"/>
            <w:r>
              <w:rPr>
                <w:rFonts w:eastAsia="Times New Roman"/>
                <w:noProof/>
                <w:sz w:val="24"/>
              </w:rPr>
              <w:t>КПТО актуализирован в соответствии с пунктом 4 раздела I Плана мероприятий ("Дорожная карта") по реализации комплекса мер, направленных на недопущение сокращения объема пригородных перевозок и восстановление востребованных маршрутов, а также создания механизмов экономического стимулирования обновления подвижного состава при осуществлении пассажирских железнодорожных перевозок в пригородном сообщении, утвержденного протоколом заседания Правительственной комиссии по транспорту от 05 декабря 2017 года № 6, и письмом</w:t>
            </w:r>
            <w:proofErr w:type="gramEnd"/>
            <w:r>
              <w:rPr>
                <w:rFonts w:eastAsia="Times New Roman"/>
                <w:noProof/>
                <w:sz w:val="24"/>
              </w:rPr>
              <w:t xml:space="preserve"> заместителя Министра транспорта Российской Федерации А.В. Лушникова от 23.05.2018 № АЛ-24-/7292.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i/>
                <w:iCs/>
                <w:noProof/>
                <w:sz w:val="24"/>
              </w:rPr>
              <w:t>Основаниями для разработки КПТО являются:</w:t>
            </w:r>
          </w:p>
          <w:p w:rsidR="00BD3C50" w:rsidRDefault="00E022C0">
            <w:pPr>
              <w:pStyle w:val="li"/>
              <w:numPr>
                <w:ilvl w:val="0"/>
                <w:numId w:val="13"/>
              </w:numPr>
              <w:spacing w:before="240"/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Транспортная стратегия Российской Федерации до 2030 года, утвержденная распоряжением Правительства Российской Федерации </w:t>
            </w:r>
            <w:r>
              <w:rPr>
                <w:rFonts w:eastAsia="Times New Roman"/>
                <w:noProof/>
                <w:sz w:val="24"/>
              </w:rPr>
              <w:br/>
              <w:t>от 22.11.2008 № 1734-р (с изменениями, внесенными распоряжением Правительства Российской Федерации от 11.06.2014 № 1032-р);</w:t>
            </w:r>
          </w:p>
          <w:p w:rsidR="00BD3C50" w:rsidRDefault="00E022C0">
            <w:pPr>
              <w:pStyle w:val="li"/>
              <w:numPr>
                <w:ilvl w:val="0"/>
                <w:numId w:val="13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Стратегия социально-экономического развития Кировской области до 2020 года, принятая постановлением Правительства Кировской области от 12.08.2008 № 142/319 «О принятии </w:t>
            </w:r>
            <w:r>
              <w:rPr>
                <w:rFonts w:eastAsia="Times New Roman"/>
                <w:noProof/>
                <w:sz w:val="24"/>
              </w:rPr>
              <w:lastRenderedPageBreak/>
              <w:t xml:space="preserve">Стратегии социально-экономического развития Кировской области на период до 2020 года» (с изменениями, внесенными постановлением Правительства Кировской области </w:t>
            </w:r>
            <w:r>
              <w:rPr>
                <w:rFonts w:eastAsia="Times New Roman"/>
                <w:noProof/>
                <w:sz w:val="24"/>
              </w:rPr>
              <w:br/>
              <w:t>от 06.12.2009 № 33/432);</w:t>
            </w:r>
          </w:p>
          <w:p w:rsidR="00BD3C50" w:rsidRDefault="00E022C0">
            <w:pPr>
              <w:pStyle w:val="li"/>
              <w:numPr>
                <w:ilvl w:val="0"/>
                <w:numId w:val="13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Концепция развития пригородных пассажирских перевозок железнодорожным транспортом, утвержденная распоряжением Правительства Российской Федерации от 19.05.2014 № 857-р;</w:t>
            </w:r>
          </w:p>
          <w:p w:rsidR="00BD3C50" w:rsidRDefault="00E022C0">
            <w:pPr>
              <w:pStyle w:val="li"/>
              <w:numPr>
                <w:ilvl w:val="0"/>
                <w:numId w:val="13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письмо и.о. Министра Транспорта Российской Федерации С.А. Аристова от 01.07.2015 № СА-28/8232;</w:t>
            </w:r>
          </w:p>
          <w:p w:rsidR="00BD3C50" w:rsidRDefault="00E022C0">
            <w:pPr>
              <w:pStyle w:val="li"/>
              <w:numPr>
                <w:ilvl w:val="0"/>
                <w:numId w:val="13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иные решения органов исполнительной и законодательной власти Кировской области;</w:t>
            </w:r>
          </w:p>
          <w:p w:rsidR="00BD3C50" w:rsidRDefault="00E022C0">
            <w:pPr>
              <w:pStyle w:val="li"/>
              <w:numPr>
                <w:ilvl w:val="0"/>
                <w:numId w:val="13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протоколы Правительственной комиссии по транспорту № 1-5 за 2015 год;</w:t>
            </w:r>
          </w:p>
          <w:p w:rsidR="00BD3C50" w:rsidRDefault="00E022C0">
            <w:pPr>
              <w:pStyle w:val="li"/>
              <w:numPr>
                <w:ilvl w:val="0"/>
                <w:numId w:val="13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перечень поручений Президента Российской Федерации от 09.07.2017 № Пр-1331 по результатам проверки исполнения законодательства и решений Президента Российской Федерации по вопросам обеспечения перевозок пассажиров железнодорожным транспортом в пригородном сообщении;</w:t>
            </w:r>
          </w:p>
          <w:p w:rsidR="00BD3C50" w:rsidRDefault="00E022C0">
            <w:pPr>
              <w:pStyle w:val="li"/>
              <w:numPr>
                <w:ilvl w:val="0"/>
                <w:numId w:val="13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перечень поручений Президента Российской Федерации от 25.10.2017 № ПР-2165ГС по итогам заседания президиума Государственного совета по вопросам комплексного развития пассажирских перевозок в субъектах Российской Федерации;</w:t>
            </w:r>
          </w:p>
          <w:p w:rsidR="00BD3C50" w:rsidRDefault="00E022C0">
            <w:pPr>
              <w:pStyle w:val="li"/>
              <w:numPr>
                <w:ilvl w:val="0"/>
                <w:numId w:val="13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план мероприятий ("Дорожная карта") по реализации комплекса мер, направленных на недопущение сокращения объема пригородных перевозок и восстановление востребованных маршрутов, а также создание механизмов экономического стимулирования обновления подвижного состава при осуществлении пассажирских железнодорожных перевозок в пригородном сообщении, утвержденный протоколом заседания Правительственной комиссии по транспорту от 05 декабря 2017 года № 6;</w:t>
            </w:r>
          </w:p>
          <w:p w:rsidR="00BD3C50" w:rsidRDefault="00E022C0">
            <w:pPr>
              <w:pStyle w:val="li"/>
              <w:numPr>
                <w:ilvl w:val="0"/>
                <w:numId w:val="13"/>
              </w:numPr>
              <w:spacing w:after="240"/>
              <w:ind w:hanging="40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письмо заместителя Министра транспорта Российской Федерации А.В. Лушникова от 23.05.2018 № АЛ-24-/7292.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pStyle w:val="Text1"/>
              <w:spacing w:line="230" w:lineRule="auto"/>
              <w:rPr>
                <w:rFonts w:eastAsia="Arial" w:cs="Arial"/>
                <w:spacing w:val="-2"/>
                <w:szCs w:val="24"/>
              </w:rPr>
            </w:pPr>
          </w:p>
          <w:p w:rsidR="00BD3C50" w:rsidRDefault="00BD3C50">
            <w:pPr>
              <w:widowControl w:val="0"/>
              <w:autoSpaceDE w:val="0"/>
              <w:autoSpaceDN w:val="0"/>
              <w:adjustRightInd w:val="0"/>
              <w:rPr>
                <w:rFonts w:ascii="Arial" w:eastAsia="Arial" w:hAnsi="Arial" w:cs="Arial"/>
              </w:rPr>
            </w:pPr>
          </w:p>
          <w:p w:rsidR="00BD3C50" w:rsidRDefault="00BD3C50"/>
        </w:tc>
      </w:tr>
    </w:tbl>
    <w:p w:rsidR="00BD3C50" w:rsidRDefault="00E022C0">
      <w:r>
        <w:lastRenderedPageBreak/>
        <w:br w:type="page"/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3167"/>
        <w:gridCol w:w="902"/>
        <w:gridCol w:w="903"/>
        <w:gridCol w:w="903"/>
        <w:gridCol w:w="902"/>
        <w:gridCol w:w="903"/>
        <w:gridCol w:w="903"/>
        <w:gridCol w:w="1346"/>
      </w:tblGrid>
      <w:tr w:rsidR="00BD3C50">
        <w:tc>
          <w:tcPr>
            <w:tcW w:w="10717" w:type="dxa"/>
            <w:gridSpan w:val="9"/>
            <w:shd w:val="clear" w:color="auto" w:fill="auto"/>
          </w:tcPr>
          <w:p w:rsidR="00BD3C50" w:rsidRDefault="00E022C0">
            <w:pPr>
              <w:pStyle w:val="1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lastRenderedPageBreak/>
              <w:t xml:space="preserve">1. Условия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t>реализации комплексного плана транспортного обслуживания населения Субъекта РФ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t xml:space="preserve"> на средне- и долгосрочную перспективу в части пригородных пассажирских перевозок (КПТО)</w:t>
            </w:r>
          </w:p>
        </w:tc>
      </w:tr>
      <w:tr w:rsidR="00BD3C50">
        <w:tc>
          <w:tcPr>
            <w:tcW w:w="10717" w:type="dxa"/>
            <w:gridSpan w:val="9"/>
            <w:shd w:val="clear" w:color="auto" w:fill="auto"/>
          </w:tcPr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1.1. Анализ общих тенденций социально-экономического развития субъекта Российской Федерации</w:t>
            </w:r>
          </w:p>
        </w:tc>
      </w:tr>
      <w:tr w:rsidR="00BD3C50">
        <w:tc>
          <w:tcPr>
            <w:tcW w:w="10717" w:type="dxa"/>
            <w:gridSpan w:val="9"/>
            <w:shd w:val="clear" w:color="auto" w:fill="auto"/>
          </w:tcPr>
          <w:p w:rsidR="00BD3C50" w:rsidRDefault="00E022C0">
            <w:pPr>
              <w:pStyle w:val="p"/>
              <w:spacing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Кировская область − один из крупнейших регионов в Приволжском федеральном округе, расположенный на северо-востоке европейской части страны. 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proofErr w:type="gramStart"/>
            <w:r>
              <w:rPr>
                <w:rFonts w:eastAsia="Times New Roman"/>
                <w:noProof/>
                <w:sz w:val="24"/>
              </w:rPr>
              <w:t>Область граничит на севере с Архангельской областью и Республикой Коми, на востоке − с Пермским краем и Удмуртской Республикой, на юге − с Республикой Татарстан и Республикой Марий Эл, на западе − с Нижегородской, Костромской и Вологодской областями.</w:t>
            </w:r>
            <w:proofErr w:type="gramEnd"/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Площадь территории составляет 120,4 тыс. кв. километров. Численность населения (по состоянию 01.01.2015) составляет 1 304,3 тыс. человек. Плотность населения составляет 10,8 чел. на кв. километров.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Численность населения города Кирова (по состоянию на 01.01.2015) составляет 519,0 тыс. человек.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i/>
                <w:iCs/>
                <w:noProof/>
                <w:sz w:val="24"/>
              </w:rPr>
              <w:t>Крупнейшие населённые пункты Кировской области:</w:t>
            </w:r>
          </w:p>
          <w:p w:rsidR="00BD3C50" w:rsidRDefault="00E022C0">
            <w:pPr>
              <w:pStyle w:val="li"/>
              <w:numPr>
                <w:ilvl w:val="0"/>
                <w:numId w:val="10"/>
              </w:numPr>
              <w:spacing w:before="240"/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город Киров – 519,0 тыс. жителей;</w:t>
            </w:r>
          </w:p>
          <w:p w:rsidR="00BD3C50" w:rsidRDefault="00E022C0">
            <w:pPr>
              <w:pStyle w:val="li"/>
              <w:numPr>
                <w:ilvl w:val="0"/>
                <w:numId w:val="10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город Кирово-Чепецк – 75,0 тыс. жителей;</w:t>
            </w:r>
          </w:p>
          <w:p w:rsidR="00BD3C50" w:rsidRDefault="00E022C0">
            <w:pPr>
              <w:pStyle w:val="li"/>
              <w:numPr>
                <w:ilvl w:val="0"/>
                <w:numId w:val="10"/>
              </w:numPr>
              <w:spacing w:after="240"/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город Слободской – 33,9 тыс. жителей.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9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Прогноз социально-экономических показателей Субъекта РФ на перспективу до 2030 года</w:t>
            </w:r>
          </w:p>
        </w:tc>
      </w:tr>
      <w:tr w:rsidR="00BD3C50">
        <w:tc>
          <w:tcPr>
            <w:tcW w:w="78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bottom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316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Наименование показателя, ед.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изм</w:t>
            </w:r>
            <w:proofErr w:type="spellEnd"/>
          </w:p>
        </w:tc>
        <w:tc>
          <w:tcPr>
            <w:tcW w:w="54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Значение показателя</w:t>
            </w:r>
          </w:p>
        </w:tc>
        <w:tc>
          <w:tcPr>
            <w:tcW w:w="13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Примечание</w:t>
            </w:r>
          </w:p>
        </w:tc>
      </w:tr>
      <w:tr w:rsidR="00BD3C50">
        <w:tc>
          <w:tcPr>
            <w:tcW w:w="78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/п</w:t>
            </w:r>
          </w:p>
        </w:tc>
        <w:tc>
          <w:tcPr>
            <w:tcW w:w="316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2030</w:t>
            </w:r>
          </w:p>
        </w:tc>
        <w:tc>
          <w:tcPr>
            <w:tcW w:w="134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</w:tr>
      <w:tr w:rsidR="00BD3C50"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3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Площадь территории субъекта РФ, Квадратный километр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120400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120400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120400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120400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3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Валовой региональный продукт в постоянных ценах 2014 года, Миллион рублей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251,30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469,70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714,50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3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Производство валового регионального продукта на душу населения в постоянных ценах 2014 года, Тысяча рублей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193,20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247,40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375,40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583,60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3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Темп роста валового регионального продукта, Процент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103,70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108,40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108,90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3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ИПЦ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предыдущему году, Процент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107,20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106,20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3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Численность постоянного населения,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., Тысяча человек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1301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1281,90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1252,20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1225,20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3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Темп роста численности населения, Процент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3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Коэффициент естественного прироста населения, Тысяча человек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-2,50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-2,70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-2,80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-2,60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3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Коэффициент естественного прироста населения, Тысяча человек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-26,60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-20,90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-17,40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на 10000 человек</w:t>
            </w:r>
          </w:p>
        </w:tc>
      </w:tr>
      <w:tr w:rsidR="00BD3C50"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3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Среднедушевые денежные доходы (в месяц) в ценах 2014 года, Рубль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21770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27691,60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40366,40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59480,80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3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Темп роста среднедушевых денежных доходов, Процент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103,80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108,40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107,30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108,70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9"/>
            <w:tcBorders>
              <w:top w:val="single" w:sz="5" w:space="0" w:color="000000"/>
            </w:tcBorders>
            <w:shd w:val="clear" w:color="auto" w:fill="auto"/>
          </w:tcPr>
          <w:p w:rsidR="00BD3C50" w:rsidRDefault="00E022C0">
            <w:pPr>
              <w:pStyle w:val="3"/>
              <w:keepNext w:val="0"/>
              <w:spacing w:before="0" w:after="281"/>
              <w:rPr>
                <w:rFonts w:ascii="Times New Roman" w:eastAsia="Times New Roman" w:hAnsi="Times New Roman" w:cs="Times New Roman" w:hint="default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t>1.1.1   Экономика Кировской области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Общая экономическая ситуация в регионе благоприятная.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Экономика области носит промышленный характер, производственную деятельность в регионе осуществляют более 4 тысяч хозяйствующих субъектов, представляющих все отрасли региона.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Основное богатство области − лес. Свыше половины территории покрыто лесами с богатым растительным и животным миром. 53% этой площади покрыто лесами хвойных пород.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Объем валового регионального продукта (ВРП) Кировской области в 2013 году составил 224,73 </w:t>
            </w:r>
            <w:r>
              <w:rPr>
                <w:rFonts w:eastAsia="Times New Roman"/>
                <w:noProof/>
                <w:sz w:val="24"/>
              </w:rPr>
              <w:lastRenderedPageBreak/>
              <w:t>млрд. рублей.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В структуре ВРП ключевыми являются следующие сферы народного хозяйства: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обрабатывающие производства – 24,5%;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оптовая и розничная торговля – 14,0%;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транспорт и связь – 9,3%.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На перспективу ожидается увеличение ВРП до уровня 368,1 млрд. рублей в 2020 году, до уровня 842,2 млрд. рублей в 2030 году.</w:t>
            </w:r>
          </w:p>
          <w:p w:rsidR="00BD3C50" w:rsidRDefault="00E022C0">
            <w:pPr>
              <w:pStyle w:val="3"/>
              <w:keepNext w:val="0"/>
              <w:spacing w:before="281" w:after="281"/>
              <w:rPr>
                <w:rFonts w:ascii="Times New Roman" w:eastAsia="Times New Roman" w:hAnsi="Times New Roman" w:cs="Times New Roman" w:hint="default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t>1.1.2  Демография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Анализ миграции по районам области позволяет выделить 3 группы районов по характеру миграционных процессов: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районы с положительным миграционным балансом (центральная часть области в районе формирования Кировской агломерации);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районы с интенсивностью миграционной убыли более высокой, чем в среднем по области (северо-восточная, северо-западная и юго-западная части области);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районы с интенсивностью миграционной убыли меньшей, чем в среднем по области.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Привлекательными для населения остаются только районы, прилегающие к зоне формирования Кировской агломерации, что определяется концентрацией здесь наиболее крупных предприятий и способствует увеличению трудовых ресурсов в этой зоне на фоне растущего дефицита рабочих рук по области в целом.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В 2015 году среднегодовая численность постоянного населения Кировской области составляет 1 301,0 тыс. человек, в том числе городского населения –  985,7 тыс. человек (75,8%).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Рассчитанный по сложившимся трендам демографический прогноз показывает, что в перспективе население Кировской области будет интенсивно сокращаться. 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Среднегодовая численность населения в период с 2016 по 2030 годы снизится с 1 294,3 тыс. человек до 1 215,3 тыс. человек.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Демографическую ситуацию в области будут определять две тенденции, ведущие к сокращению численности населения области и ухудшению его качественных характеристик: предполагаемое сокращение рождаемости и предполагаемое старение населения.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E022C0">
            <w:pPr>
              <w:pStyle w:val="3"/>
              <w:keepNext w:val="0"/>
              <w:spacing w:before="281" w:after="281"/>
              <w:rPr>
                <w:rFonts w:ascii="Times New Roman" w:eastAsia="Times New Roman" w:hAnsi="Times New Roman" w:cs="Times New Roman" w:hint="default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t>1.1.3 Рынок труда и доходы населения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Доля занятых в экономике области составляет  48,3%, что составляет 627,9 тыс. человек.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В области отмечена нехватка кадровых ресурсов по отдельным видам профессий. Дефицит кадров становится одним из сдерживающих факторов развития экономики региона.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Дальнейшее развитие экономики области приведет к нарастанию дефицита трудовых ресурсов, что обусловливается как возрастной структурой населения, так и характером миграционных процессов. 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lastRenderedPageBreak/>
              <w:t>В 2015 году средняя заработная плата по Кировской области составляет 21 770,0 тыс. рублей. Уровень зарегистрированной безработицы на конец 2015 года составляет 1,44% экономически активного населения.</w:t>
            </w:r>
          </w:p>
          <w:p w:rsidR="00BD3C50" w:rsidRDefault="00E022C0">
            <w:pPr>
              <w:pStyle w:val="3"/>
              <w:keepNext w:val="0"/>
              <w:spacing w:before="281" w:after="281"/>
              <w:rPr>
                <w:rFonts w:ascii="Times New Roman" w:eastAsia="Times New Roman" w:hAnsi="Times New Roman" w:cs="Times New Roman" w:hint="default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t>1.1.4 Жилищный комплекс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Одной из основных задач Правительства области является создание условий для развития жилищного строительства в области, формирование рынка доступного и комфортного жилья эконом класса, увеличение объемов жилищного строительства.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В 2014 году в регионе введено 684,5 тыс. кв. метров жилья. Темп роста жилищного строительства за 2014 год составил более 140%. Ввод жилья по направлению индивидуального жилищного строительства составил </w:t>
            </w:r>
            <w:r>
              <w:rPr>
                <w:rFonts w:eastAsia="Times New Roman"/>
                <w:noProof/>
                <w:sz w:val="24"/>
              </w:rPr>
              <w:br/>
              <w:t>244,5 тыс. кв. метров, или 179,1% к уровню прошлого года.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 декабря 2011 года с участием открытого акционерного общества «Кировская региональная ипотечная корпорация» реализуется комплекс мер по строительству и предоставлению жилья работникам бюджетной сферы с использованием механизма льготной аренды.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В рамках государственной программы Российской Федерации «Обеспечение доступным и комфортным жильем и коммунальными услугами граждан Российской Федерации» реализуется программа «Жилье для российской семьи» в целях обеспечения граждан Кировской области жильем экономического класса. Также на территории Кировской области реализуются проекты массового жилищного строительства, а также проекты в рамках Федеральной адресной инвестиционной программы.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i/>
                <w:iCs/>
                <w:noProof/>
                <w:sz w:val="24"/>
              </w:rPr>
              <w:t>Крупнейшими центрами жилищного строительства на перспективу будут являться:</w:t>
            </w:r>
          </w:p>
          <w:p w:rsidR="00BD3C50" w:rsidRDefault="00E022C0">
            <w:pPr>
              <w:pStyle w:val="li"/>
              <w:numPr>
                <w:ilvl w:val="0"/>
                <w:numId w:val="9"/>
              </w:numPr>
              <w:spacing w:before="240"/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Город Киров;</w:t>
            </w:r>
          </w:p>
          <w:p w:rsidR="00BD3C50" w:rsidRDefault="00E022C0">
            <w:pPr>
              <w:pStyle w:val="li"/>
              <w:numPr>
                <w:ilvl w:val="0"/>
                <w:numId w:val="9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Город Киров-Чепецк;</w:t>
            </w:r>
          </w:p>
          <w:p w:rsidR="00BD3C50" w:rsidRDefault="00E022C0">
            <w:pPr>
              <w:pStyle w:val="li"/>
              <w:numPr>
                <w:ilvl w:val="0"/>
                <w:numId w:val="9"/>
              </w:numPr>
              <w:spacing w:after="240"/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Город Слободской.</w:t>
            </w:r>
          </w:p>
          <w:p w:rsidR="00BD3C50" w:rsidRDefault="00E022C0">
            <w:pPr>
              <w:pStyle w:val="3"/>
              <w:keepNext w:val="0"/>
              <w:spacing w:before="281" w:after="281"/>
              <w:rPr>
                <w:rFonts w:ascii="Times New Roman" w:eastAsia="Times New Roman" w:hAnsi="Times New Roman" w:cs="Times New Roman" w:hint="default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t>1.1.5 Территориальное развитие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Территория Кировской области разделена на 39 муниципальных районов. 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Около 72% населенных пунктов области не имеют потенциала для развития, поскольку численность их населения не позволяет разместить в них рентабельные производства реального сектора экономики.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Существующая система расселения и административно-территориального деления является сдерживающим фактором социально-экономического развития Кировской области. Сохранение ее в существующем виде повлечет за собой возрастающий отток бюджетных средств в социальную сферу, поддержку неэффективной транспортной сети, не позволит реализовать потенциал имеющихся точек роста.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На территории Кировской области сформированы и развиваются четыре специализированных кластера, создано пять парковых зон интенсивного развития.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Информация по кластерам и парковым зонам интенсивного развития, на территории Кировской области представлены в таблицах 2 и 3 соответственно.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Кластеры на территории Кировской области</w:t>
            </w:r>
          </w:p>
          <w:tbl>
            <w:tblPr>
              <w:tblStyle w:val="table"/>
              <w:tblW w:w="5000" w:type="pct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5E0" w:firstRow="1" w:lastRow="1" w:firstColumn="1" w:lastColumn="1" w:noHBand="0" w:noVBand="1"/>
            </w:tblPr>
            <w:tblGrid>
              <w:gridCol w:w="282"/>
              <w:gridCol w:w="2425"/>
              <w:gridCol w:w="2204"/>
              <w:gridCol w:w="4480"/>
              <w:gridCol w:w="1306"/>
            </w:tblGrid>
            <w:tr w:rsidR="00BD3C50">
              <w:trPr>
                <w:tblHeader/>
                <w:jc w:val="center"/>
              </w:trPr>
              <w:tc>
                <w:tcPr>
                  <w:tcW w:w="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№ </w:t>
                  </w:r>
                </w:p>
              </w:tc>
              <w:tc>
                <w:tcPr>
                  <w:tcW w:w="2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Название кластера 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Территориальная привязка </w:t>
                  </w:r>
                </w:p>
              </w:tc>
              <w:tc>
                <w:tcPr>
                  <w:tcW w:w="4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Цели создания </w:t>
                  </w:r>
                </w:p>
              </w:tc>
              <w:tc>
                <w:tcPr>
                  <w:tcW w:w="13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>Сроки реализации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 </w:t>
                  </w:r>
                </w:p>
              </w:tc>
              <w:tc>
                <w:tcPr>
                  <w:tcW w:w="2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Некоммерческое </w:t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>партнерство биофармацевти­ческий кластер «Вятка–Биополис» в Кировской области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  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поселок Левинцы </w:t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Оричевского района Кировской области </w:t>
                  </w:r>
                </w:p>
              </w:tc>
              <w:tc>
                <w:tcPr>
                  <w:tcW w:w="4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обеспечение прорыва в производстве </w:t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отечественных вакцин, изготовленных по самым современным технологиям для лечения социально значимых заболеваний человека, а также биологических средств защиты от инфекционных болезней животных </w:t>
                  </w:r>
                </w:p>
              </w:tc>
              <w:tc>
                <w:tcPr>
                  <w:tcW w:w="13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2013 год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2 </w:t>
                  </w:r>
                </w:p>
              </w:tc>
              <w:tc>
                <w:tcPr>
                  <w:tcW w:w="2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Некоммерческое партнерство «Биотехнологический кластер Кировской области»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  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муниципальное образование «Город Киров» </w:t>
                  </w:r>
                </w:p>
              </w:tc>
              <w:tc>
                <w:tcPr>
                  <w:tcW w:w="4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обеспечение условий для реализации и коммерциализации биотехнологических проектов, имеющих инновационный характер и способствующих внедрению безотходных технологий, основанных на использовании биомассы (биоресурсов) </w:t>
                  </w:r>
                </w:p>
              </w:tc>
              <w:tc>
                <w:tcPr>
                  <w:tcW w:w="13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2009 год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 </w:t>
                  </w:r>
                </w:p>
              </w:tc>
              <w:tc>
                <w:tcPr>
                  <w:tcW w:w="2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Некоммерческое партнерство «Кластер по развитию промышленной биотехнологии в Кировской области»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  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муниципальное образование «Город Киров»; поселок Восточный Омутнинского района Кировской области </w:t>
                  </w:r>
                </w:p>
              </w:tc>
              <w:tc>
                <w:tcPr>
                  <w:tcW w:w="4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развитие производства кормового белка и биотоплива </w:t>
                  </w:r>
                </w:p>
              </w:tc>
              <w:tc>
                <w:tcPr>
                  <w:tcW w:w="13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2013 год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 </w:t>
                  </w:r>
                </w:p>
              </w:tc>
              <w:tc>
                <w:tcPr>
                  <w:tcW w:w="2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Некоммерческое партнерство «Геоинформационный кластер «ГЕОКИРОВ» 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муниципальное образование «Город Киров» </w:t>
                  </w:r>
                </w:p>
              </w:tc>
              <w:tc>
                <w:tcPr>
                  <w:tcW w:w="4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создание опорного центра развития региональной экономики и повышения ее конкурентоспособности на основе опережающего развития IT-отрасли и геоинформационных систем </w:t>
                  </w:r>
                </w:p>
              </w:tc>
              <w:tc>
                <w:tcPr>
                  <w:tcW w:w="13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pStyle w:val="p"/>
                    <w:spacing w:after="240"/>
                    <w:rPr>
                      <w:rFonts w:eastAsia="Times New Roman" w:hint="default"/>
                      <w:noProof/>
                      <w:color w:val="000000"/>
                    </w:rPr>
                  </w:pPr>
                  <w:r>
                    <w:rPr>
                      <w:rFonts w:eastAsia="Times New Roman"/>
                      <w:noProof/>
                      <w:color w:val="000000"/>
                      <w:sz w:val="24"/>
                    </w:rPr>
                    <w:t>2014 год</w:t>
                  </w:r>
                </w:p>
                <w:p w:rsidR="00BD3C50" w:rsidRDefault="00E022C0">
                  <w:pPr>
                    <w:pStyle w:val="p"/>
                    <w:spacing w:before="240" w:after="240"/>
                    <w:rPr>
                      <w:rFonts w:eastAsia="Times New Roman" w:hint="default"/>
                      <w:noProof/>
                      <w:color w:val="000000"/>
                    </w:rPr>
                  </w:pPr>
                  <w:r>
                    <w:rPr>
                      <w:rFonts w:eastAsia="Times New Roman"/>
                      <w:noProof/>
                      <w:color w:val="000000"/>
                      <w:sz w:val="24"/>
                    </w:rPr>
                    <w:t> </w:t>
                  </w:r>
                </w:p>
                <w:p w:rsidR="00BD3C50" w:rsidRDefault="00E022C0">
                  <w:pPr>
                    <w:pStyle w:val="p"/>
                    <w:spacing w:before="240"/>
                    <w:rPr>
                      <w:rFonts w:eastAsia="Times New Roman" w:hint="default"/>
                      <w:noProof/>
                      <w:color w:val="000000"/>
                    </w:rPr>
                  </w:pPr>
                  <w:r>
                    <w:rPr>
                      <w:rFonts w:eastAsia="Times New Roman"/>
                      <w:noProof/>
                      <w:color w:val="000000"/>
                      <w:sz w:val="24"/>
                    </w:rPr>
                    <w:t> </w:t>
                  </w:r>
                </w:p>
              </w:tc>
            </w:tr>
          </w:tbl>
          <w:p w:rsidR="00BD3C50" w:rsidRDefault="00E022C0">
            <w:pPr>
              <w:pStyle w:val="p"/>
              <w:spacing w:before="240" w:after="240"/>
              <w:jc w:val="center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E022C0">
            <w:pPr>
              <w:pStyle w:val="p"/>
              <w:spacing w:before="240" w:after="240"/>
              <w:jc w:val="center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Парковые зоны интенсивного развития на территории  Кировской области</w:t>
            </w:r>
          </w:p>
          <w:p w:rsidR="00BD3C50" w:rsidRDefault="00E022C0">
            <w:pPr>
              <w:pStyle w:val="p"/>
              <w:spacing w:before="240" w:after="240"/>
              <w:jc w:val="center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tbl>
            <w:tblPr>
              <w:tblStyle w:val="table"/>
              <w:tblW w:w="5000" w:type="pct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5E0" w:firstRow="1" w:lastRow="1" w:firstColumn="1" w:lastColumn="1" w:noHBand="0" w:noVBand="1"/>
            </w:tblPr>
            <w:tblGrid>
              <w:gridCol w:w="509"/>
              <w:gridCol w:w="3035"/>
              <w:gridCol w:w="2379"/>
              <w:gridCol w:w="2067"/>
              <w:gridCol w:w="2707"/>
            </w:tblGrid>
            <w:tr w:rsidR="00BD3C50">
              <w:trPr>
                <w:tblHeader/>
                <w:jc w:val="center"/>
              </w:trPr>
              <w:tc>
                <w:tcPr>
                  <w:tcW w:w="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№ </w:t>
                  </w:r>
                </w:p>
              </w:tc>
              <w:tc>
                <w:tcPr>
                  <w:tcW w:w="2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Название парка </w:t>
                  </w:r>
                </w:p>
              </w:tc>
              <w:tc>
                <w:tcPr>
                  <w:tcW w:w="21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Территориальная привязка </w:t>
                  </w:r>
                </w:p>
              </w:tc>
              <w:tc>
                <w:tcPr>
                  <w:tcW w:w="18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Цели создания </w:t>
                  </w:r>
                </w:p>
              </w:tc>
              <w:tc>
                <w:tcPr>
                  <w:tcW w:w="24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>Сроки реализации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 </w:t>
                  </w:r>
                </w:p>
              </w:tc>
              <w:tc>
                <w:tcPr>
                  <w:tcW w:w="2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Парковая зона интенсивного развития на территории муниципального образования «Город Вятские Поляны»,  форма − индустриальный (промышленный) парк </w:t>
                  </w:r>
                </w:p>
              </w:tc>
              <w:tc>
                <w:tcPr>
                  <w:tcW w:w="21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муниципальное образование «Город Вятские Поляны» </w:t>
                  </w:r>
                </w:p>
              </w:tc>
              <w:tc>
                <w:tcPr>
                  <w:tcW w:w="18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промышленное производство </w:t>
                  </w:r>
                </w:p>
              </w:tc>
              <w:tc>
                <w:tcPr>
                  <w:tcW w:w="24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июнь 2013 года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2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Парковая зона на территории Юрьянского района Кировской области (индустриальный парк предприятий малого и среднего бизнеса на территории Юрьянского района Кировской области),  форма − индустриальный (промышленный) парк </w:t>
                  </w:r>
                </w:p>
              </w:tc>
              <w:tc>
                <w:tcPr>
                  <w:tcW w:w="21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муниципальное образование Юрьянский муниципальный район Кировской области </w:t>
                  </w:r>
                </w:p>
              </w:tc>
              <w:tc>
                <w:tcPr>
                  <w:tcW w:w="18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промышленное производство </w:t>
                  </w:r>
                </w:p>
              </w:tc>
              <w:tc>
                <w:tcPr>
                  <w:tcW w:w="24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октябрь 2014 года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 </w:t>
                  </w:r>
                </w:p>
              </w:tc>
              <w:tc>
                <w:tcPr>
                  <w:tcW w:w="2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Парковая зона интенсивного развития в сфере индустрии детских товаров «Игроград», форма с индустриальный </w:t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(промышленный) парк </w:t>
                  </w:r>
                </w:p>
              </w:tc>
              <w:tc>
                <w:tcPr>
                  <w:tcW w:w="21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муниципальное образование «Город Киров» </w:t>
                  </w:r>
                </w:p>
              </w:tc>
              <w:tc>
                <w:tcPr>
                  <w:tcW w:w="18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промышленное производство в сфере индустрии детских товаров </w:t>
                  </w:r>
                </w:p>
              </w:tc>
              <w:tc>
                <w:tcPr>
                  <w:tcW w:w="24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май 2015 года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4 </w:t>
                  </w:r>
                </w:p>
              </w:tc>
              <w:tc>
                <w:tcPr>
                  <w:tcW w:w="2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Парковая зона интенсивного развития на территории муниципального образования Лузское городское поселение Лузского района Кировской области, форма −  индустриальный (промышленный) парк </w:t>
                  </w:r>
                </w:p>
              </w:tc>
              <w:tc>
                <w:tcPr>
                  <w:tcW w:w="21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муниципальное образование Лузское городское поселение Лузского района Кировской области </w:t>
                  </w:r>
                </w:p>
              </w:tc>
              <w:tc>
                <w:tcPr>
                  <w:tcW w:w="18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Промышленное производство </w:t>
                  </w:r>
                </w:p>
              </w:tc>
              <w:tc>
                <w:tcPr>
                  <w:tcW w:w="24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июль 2015 года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 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 </w:t>
                  </w:r>
                </w:p>
              </w:tc>
              <w:tc>
                <w:tcPr>
                  <w:tcW w:w="2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Парковая зона интенсивного развития «Конвеер», форма −  индустриальный (промышленный) парк </w:t>
                  </w:r>
                </w:p>
              </w:tc>
              <w:tc>
                <w:tcPr>
                  <w:tcW w:w="21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муниципальное образование Белохолуницкое городское поселение Белохолуницкого района Кировской области </w:t>
                  </w:r>
                </w:p>
              </w:tc>
              <w:tc>
                <w:tcPr>
                  <w:tcW w:w="18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промышленное производство </w:t>
                  </w:r>
                </w:p>
              </w:tc>
              <w:tc>
                <w:tcPr>
                  <w:tcW w:w="24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июль 2015 года </w:t>
                  </w:r>
                </w:p>
              </w:tc>
            </w:tr>
          </w:tbl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 учетом территориального развития Кировской области сформированы транспортные центры, формирующие основной пассажиропоток в части пригородных пассажирских перевозок.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Характеристики транспортных центров представлены в таблице 4. </w:t>
            </w:r>
          </w:p>
          <w:p w:rsidR="00BD3C50" w:rsidRDefault="00E022C0">
            <w:pPr>
              <w:pStyle w:val="p"/>
              <w:spacing w:before="240" w:after="240"/>
              <w:jc w:val="right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E022C0">
            <w:pPr>
              <w:pStyle w:val="p"/>
              <w:spacing w:before="240" w:after="240"/>
              <w:jc w:val="center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Характеристики транспортных центров Кировской области</w:t>
            </w:r>
          </w:p>
          <w:p w:rsidR="00BD3C50" w:rsidRDefault="00E022C0">
            <w:pPr>
              <w:pStyle w:val="p"/>
              <w:spacing w:before="240" w:after="240"/>
              <w:jc w:val="center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tbl>
            <w:tblPr>
              <w:tblStyle w:val="table"/>
              <w:tblW w:w="5000" w:type="pct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5E0" w:firstRow="1" w:lastRow="1" w:firstColumn="1" w:lastColumn="1" w:noHBand="0" w:noVBand="1"/>
            </w:tblPr>
            <w:tblGrid>
              <w:gridCol w:w="1772"/>
              <w:gridCol w:w="2065"/>
              <w:gridCol w:w="1326"/>
              <w:gridCol w:w="879"/>
              <w:gridCol w:w="879"/>
              <w:gridCol w:w="879"/>
              <w:gridCol w:w="925"/>
              <w:gridCol w:w="986"/>
              <w:gridCol w:w="986"/>
            </w:tblGrid>
            <w:tr w:rsidR="00BD3C50">
              <w:trPr>
                <w:tblHeader/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Наименование транспортного центра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Наименование показателя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Единица измерения </w:t>
                  </w:r>
                </w:p>
              </w:tc>
              <w:tc>
                <w:tcPr>
                  <w:tcW w:w="855" w:type="dxa"/>
                  <w:gridSpan w:val="6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>Значение показателя (прогноз, факт)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Лянгасово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13,3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13,1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13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14,8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14,8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14,7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6,8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6,7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Стрижи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3,4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3,4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3,5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1,3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2,1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Оричи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7,6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7,5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7,5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7,5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7,5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7,5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Среднесписочна</w:t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0,7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0,7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0,4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0,3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0,3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Котельнич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24,6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24,4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24,3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23,8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23,1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22,4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10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9,8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9,7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9,6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9,5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9,4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2,1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2,1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2,1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Ежиха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2,9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2,8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0,6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0,6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0,6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Свеча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4,4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4,3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3,9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3,6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2,1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0,4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0,6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0,7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0,9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Шабалино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4,8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4,7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4,6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4,5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3,4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3,1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2,9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2,4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1,1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0,9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Юрья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5,4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5,4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5,3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1,7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1,6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</w:t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0,4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2,4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Мураши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6,6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6,4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3,7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3,4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2,9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1,7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1,4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Опарино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10,8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10,4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10,1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9,3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8,3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7,2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4,7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4,6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0,4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0,7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0,7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0,9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1,0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1,1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Подосиновец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4,8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4,7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4,6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4,5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2,1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0,7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1,4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1,4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Пинюг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2,5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2,4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2,3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2,1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0,9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0,9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0,04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Луза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17,3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16,8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16,4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16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14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13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5,9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5,9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5,9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2,1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Зуевка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10,9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10,7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10,7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10,5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10,2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10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Среднесписочна</w:t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7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7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6,9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6,9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3,1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3,7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2,6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Фаленки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11,1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10,9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10,9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9,9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9,1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8,1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3,4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0,1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0,1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Омутнинск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23,5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23,2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22,9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22,6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22,6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22,6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8,7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8,6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8,5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8,4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8,4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8,4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3,3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4,3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4,3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4,3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Песковка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5,9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5,7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5,7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2,1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1,9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Кирс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10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9,9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9,8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9,7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9,6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9,6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4,3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4,1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4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1,5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1,5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1,5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Вятские Поляны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Численность постоянного населения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33,9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33,6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33,3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33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32,2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31,6 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Среднесписочная численность работников организаций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тыс. человек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13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13,2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13,5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13,8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13,8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  <w:tr w:rsidR="00BD3C50">
              <w:trPr>
                <w:jc w:val="center"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Темпы жилищного </w:t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строительства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lastRenderedPageBreak/>
                    <w:t xml:space="preserve">тыс. кв. м.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6,8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21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12,1 </w:t>
                  </w:r>
                </w:p>
              </w:tc>
              <w:tc>
                <w:tcPr>
                  <w:tcW w:w="8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t xml:space="preserve">12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 </w:t>
                  </w:r>
                </w:p>
              </w:tc>
            </w:tr>
          </w:tbl>
          <w:p w:rsidR="00BD3C50" w:rsidRDefault="00E022C0">
            <w:pPr>
              <w:pStyle w:val="p"/>
              <w:spacing w:before="240" w:after="240"/>
              <w:jc w:val="center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lastRenderedPageBreak/>
              <w:t> 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9"/>
            <w:shd w:val="clear" w:color="auto" w:fill="auto"/>
          </w:tcPr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lastRenderedPageBreak/>
              <w:t>1.2. Ситуационный анализ условий реализации КПТО</w:t>
            </w:r>
          </w:p>
        </w:tc>
      </w:tr>
      <w:tr w:rsidR="00BD3C50">
        <w:tc>
          <w:tcPr>
            <w:tcW w:w="10717" w:type="dxa"/>
            <w:gridSpan w:val="9"/>
            <w:shd w:val="clear" w:color="auto" w:fill="auto"/>
          </w:tcPr>
          <w:p w:rsidR="00BD3C50" w:rsidRDefault="00E022C0">
            <w:pPr>
              <w:pStyle w:val="3"/>
              <w:keepNext w:val="0"/>
              <w:spacing w:before="0" w:after="0"/>
              <w:rPr>
                <w:rFonts w:ascii="Times New Roman" w:eastAsia="Times New Roman" w:hAnsi="Times New Roman" w:cs="Times New Roman" w:hint="default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t>1.2.1  Ключевые негативные факторы, сдерживающие развитие пригородного транспорта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Анализ возможных негативных факторов развития транспортной системы произведен на основе представленной в предыдущих разделах информации. Результаты сведены в таблицу 5.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Негативные факторы развития пригородного транспорта   Кировской области</w:t>
            </w:r>
          </w:p>
          <w:p w:rsidR="00BD3C50" w:rsidRDefault="00E022C0">
            <w:pPr>
              <w:pStyle w:val="p"/>
              <w:spacing w:before="240" w:after="240"/>
              <w:jc w:val="center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tbl>
            <w:tblPr>
              <w:tblStyle w:val="table"/>
              <w:tblW w:w="5000" w:type="pct"/>
              <w:tblInd w:w="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5E0" w:firstRow="1" w:lastRow="1" w:firstColumn="1" w:lastColumn="1" w:noHBand="0" w:noVBand="1"/>
            </w:tblPr>
            <w:tblGrid>
              <w:gridCol w:w="1962"/>
              <w:gridCol w:w="8735"/>
            </w:tblGrid>
            <w:tr w:rsidR="00BD3C50">
              <w:trPr>
                <w:tblHeader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D3C50" w:rsidRDefault="00E022C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Направление анализа </w:t>
                  </w:r>
                </w:p>
              </w:tc>
              <w:tc>
                <w:tcPr>
                  <w:tcW w:w="7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D3C50" w:rsidRDefault="00E022C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Ключевые негативные факторы </w:t>
                  </w:r>
                </w:p>
              </w:tc>
            </w:tr>
            <w:tr w:rsidR="00BD3C50">
              <w:tc>
                <w:tcPr>
                  <w:tcW w:w="16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Внешняя макросреда </w:t>
                  </w:r>
                </w:p>
              </w:tc>
              <w:tc>
                <w:tcPr>
                  <w:tcW w:w="76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низкая плотность населения;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снижение численности населения, миграционный отток;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крайне неблагоприятная система расселения;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низкое качество автомобильных дорог </w:t>
                  </w:r>
                </w:p>
              </w:tc>
            </w:tr>
            <w:tr w:rsidR="00BD3C50">
              <w:tc>
                <w:tcPr>
                  <w:tcW w:w="16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Среда влияния </w:t>
                  </w:r>
                </w:p>
              </w:tc>
              <w:tc>
                <w:tcPr>
                  <w:tcW w:w="76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повышение уровня автомобилизации с сохранением отрицательной динамики спроса на пригородные пассажирские перевозки общественным транспортом;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нехватка денежных средств в областном  бюджете на финансирование пригородных пассажирских перевозок </w:t>
                  </w:r>
                </w:p>
              </w:tc>
            </w:tr>
            <w:tr w:rsidR="00BD3C50">
              <w:tc>
                <w:tcPr>
                  <w:tcW w:w="16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Внутренняя среда </w:t>
                  </w:r>
                </w:p>
              </w:tc>
              <w:tc>
                <w:tcPr>
                  <w:tcW w:w="76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низкая инвестиционная привлекательность пригородных перевозок;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высокий объём нелегальных пригородных и межмуниципальных автобусных перевозок </w:t>
                  </w:r>
                </w:p>
              </w:tc>
            </w:tr>
          </w:tbl>
          <w:p w:rsidR="00BD3C50" w:rsidRDefault="00E022C0">
            <w:pPr>
              <w:pStyle w:val="p"/>
              <w:spacing w:before="240" w:after="240"/>
              <w:ind w:firstLine="709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E022C0">
            <w:pPr>
              <w:pStyle w:val="3"/>
              <w:keepNext w:val="0"/>
              <w:spacing w:before="0" w:after="0"/>
              <w:rPr>
                <w:rFonts w:ascii="Times New Roman" w:eastAsia="Times New Roman" w:hAnsi="Times New Roman" w:cs="Times New Roman" w:hint="default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t>1.2.2  Возможности для развития пригородного транспорта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Анализ возможностей, которые могут оказать позитивное влияние на транспортное развитие, сведен в таблицу 6.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Возможности для развития пригородного транспорта Кировской области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tbl>
            <w:tblPr>
              <w:tblStyle w:val="table"/>
              <w:tblW w:w="5000" w:type="pct"/>
              <w:tblInd w:w="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5E0" w:firstRow="1" w:lastRow="1" w:firstColumn="1" w:lastColumn="1" w:noHBand="0" w:noVBand="1"/>
            </w:tblPr>
            <w:tblGrid>
              <w:gridCol w:w="1962"/>
              <w:gridCol w:w="8735"/>
            </w:tblGrid>
            <w:tr w:rsidR="00BD3C50">
              <w:trPr>
                <w:tblHeader/>
              </w:trPr>
              <w:tc>
                <w:tcPr>
                  <w:tcW w:w="17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D3C50" w:rsidRDefault="00E022C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Направление анализа </w:t>
                  </w:r>
                </w:p>
              </w:tc>
              <w:tc>
                <w:tcPr>
                  <w:tcW w:w="7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D3C50" w:rsidRDefault="00E022C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noProof/>
                      <w:color w:val="000000"/>
                      <w:sz w:val="24"/>
                      <w:szCs w:val="18"/>
                    </w:rPr>
                    <w:t xml:space="preserve">Ключевые возможности </w:t>
                  </w:r>
                </w:p>
              </w:tc>
            </w:tr>
            <w:tr w:rsidR="00BD3C50">
              <w:tc>
                <w:tcPr>
                  <w:tcW w:w="16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Внешняя макросреда </w:t>
                  </w:r>
                </w:p>
              </w:tc>
              <w:tc>
                <w:tcPr>
                  <w:tcW w:w="76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общее повышение благосостояния населения;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унификация подходов к транспортному планированию и повышение прозрачности функционирования транспортного комплекса Российской Федерации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  </w:t>
                  </w:r>
                </w:p>
              </w:tc>
            </w:tr>
            <w:tr w:rsidR="00BD3C50">
              <w:tc>
                <w:tcPr>
                  <w:tcW w:w="16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Среда влияния </w:t>
                  </w:r>
                </w:p>
              </w:tc>
              <w:tc>
                <w:tcPr>
                  <w:tcW w:w="76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tl2br w:val="nil"/>
                    <w:tr2bl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D3C50" w:rsidRDefault="00E022C0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реализация проектов по созданию промышленных парков, приводящая к повышению занятости, благосостояния населения, потребности в поездках, развитию территорий Кировской области;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>формирование Кировской агломерации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18"/>
                    </w:rPr>
                    <w:br/>
                  </w:r>
                  <w:r>
                    <w:rPr>
                      <w:rFonts w:ascii="Times New Roman" w:eastAsia="Times New Roman" w:hAnsi="Times New Roman" w:cs="Times New Roman" w:hint="cs"/>
                      <w:noProof/>
                      <w:color w:val="000000"/>
                      <w:sz w:val="24"/>
                      <w:szCs w:val="18"/>
                    </w:rPr>
                    <w:t xml:space="preserve">  </w:t>
                  </w:r>
                </w:p>
              </w:tc>
            </w:tr>
          </w:tbl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9"/>
            <w:shd w:val="clear" w:color="auto" w:fill="auto"/>
          </w:tcPr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lastRenderedPageBreak/>
              <w:t>1.3. Выводы</w:t>
            </w:r>
          </w:p>
        </w:tc>
      </w:tr>
      <w:tr w:rsidR="00BD3C50">
        <w:tc>
          <w:tcPr>
            <w:tcW w:w="10717" w:type="dxa"/>
            <w:gridSpan w:val="9"/>
            <w:shd w:val="clear" w:color="auto" w:fill="auto"/>
          </w:tcPr>
          <w:p w:rsidR="00BD3C50" w:rsidRDefault="00E022C0">
            <w:pPr>
              <w:pStyle w:val="p"/>
              <w:spacing w:after="240" w:line="440" w:lineRule="atLeast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Общие условия развития рынка пригородных перевозок в Кировской области являются негативными.</w:t>
            </w:r>
          </w:p>
          <w:p w:rsidR="00BD3C50" w:rsidRDefault="00E022C0">
            <w:pPr>
              <w:pStyle w:val="p"/>
              <w:spacing w:before="240" w:after="240" w:line="440" w:lineRule="atLeast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Наиболее существенное влияние на развитие рынка пригородных перевозок оказывает финансирование пригородных пассажирских перевозок как на федеральном уровне, так и на региональном.</w:t>
            </w:r>
          </w:p>
          <w:p w:rsidR="00BD3C50" w:rsidRDefault="00E022C0">
            <w:pPr>
              <w:pStyle w:val="p"/>
              <w:spacing w:before="240" w:after="240" w:line="440" w:lineRule="atLeast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Ключевыми негативными факторами развития пригородных пассажирских перевозок в Кировской области являются снижение численности населения и крайне неблагоприятная система расселения, что формирует низкий спрос на пригородные перевозки, огромные убытки и неэффективность расходования бюджетных средств в транспортной отрасли.</w:t>
            </w:r>
          </w:p>
          <w:p w:rsidR="00BD3C50" w:rsidRDefault="00E022C0">
            <w:pPr>
              <w:pStyle w:val="p"/>
              <w:spacing w:before="240" w:after="240" w:line="440" w:lineRule="atLeast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Ключевыми факторами развития пригородных пассажирских перевозок в Кировской области должны стать оптимизация маршрутной сети и транспортных потоков, организация мультимодального пригородного сообщения с применением современных логистических принципов.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</w:tbl>
    <w:p w:rsidR="00BD3C50" w:rsidRDefault="00E022C0">
      <w:r>
        <w:br w:type="page"/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229"/>
        <w:gridCol w:w="459"/>
        <w:gridCol w:w="329"/>
        <w:gridCol w:w="229"/>
        <w:gridCol w:w="559"/>
        <w:gridCol w:w="344"/>
        <w:gridCol w:w="229"/>
        <w:gridCol w:w="674"/>
        <w:gridCol w:w="229"/>
        <w:gridCol w:w="215"/>
        <w:gridCol w:w="229"/>
        <w:gridCol w:w="673"/>
        <w:gridCol w:w="230"/>
        <w:gridCol w:w="458"/>
        <w:gridCol w:w="330"/>
        <w:gridCol w:w="344"/>
        <w:gridCol w:w="114"/>
        <w:gridCol w:w="559"/>
        <w:gridCol w:w="229"/>
        <w:gridCol w:w="230"/>
        <w:gridCol w:w="558"/>
        <w:gridCol w:w="559"/>
        <w:gridCol w:w="229"/>
        <w:gridCol w:w="674"/>
        <w:gridCol w:w="114"/>
        <w:gridCol w:w="459"/>
        <w:gridCol w:w="673"/>
      </w:tblGrid>
      <w:tr w:rsidR="00BD3C50">
        <w:tc>
          <w:tcPr>
            <w:tcW w:w="10717" w:type="dxa"/>
            <w:gridSpan w:val="28"/>
            <w:shd w:val="clear" w:color="auto" w:fill="auto"/>
          </w:tcPr>
          <w:p w:rsidR="00BD3C50" w:rsidRDefault="00E022C0">
            <w:pPr>
              <w:pStyle w:val="1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lastRenderedPageBreak/>
              <w:t xml:space="preserve">2. Существующее состояние транспортного обслуживания населения в части пригородных пассажирских перевозок </w:t>
            </w:r>
          </w:p>
        </w:tc>
      </w:tr>
      <w:tr w:rsidR="00BD3C50">
        <w:tc>
          <w:tcPr>
            <w:tcW w:w="10717" w:type="dxa"/>
            <w:gridSpan w:val="28"/>
            <w:shd w:val="clear" w:color="auto" w:fill="auto"/>
          </w:tcPr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2.1. Анализ схемы транспортного обслуживания населения в части пригородных пассажирских перевозок</w:t>
            </w:r>
          </w:p>
        </w:tc>
      </w:tr>
      <w:tr w:rsidR="00BD3C50">
        <w:tc>
          <w:tcPr>
            <w:tcW w:w="10717" w:type="dxa"/>
            <w:gridSpan w:val="28"/>
            <w:shd w:val="clear" w:color="auto" w:fill="auto"/>
          </w:tcPr>
          <w:p w:rsidR="00BD3C50" w:rsidRDefault="00E022C0">
            <w:pPr>
              <w:pStyle w:val="p"/>
              <w:spacing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Пригородные перевозки на территории Кировской области осуществляются железнодорожным и автомобильным транспортом.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Однако транспортные пути размещаются крайне неравномерно. В более благоприятном положении находятся центральные районы области. Здесь развиты все виды транспорта. В южных районах − автомобильный транспорт. Ряд северных районов не имеет автомобильного транспортного сообщения.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Основной объем пригородных перевозок выполняет автомобильный транспорт, на долю которого приходится</w:t>
            </w:r>
            <w:r>
              <w:rPr>
                <w:rFonts w:eastAsia="Times New Roman"/>
                <w:noProof/>
                <w:color w:val="FF0000"/>
                <w:sz w:val="24"/>
              </w:rPr>
              <w:t xml:space="preserve"> </w:t>
            </w:r>
            <w:r>
              <w:rPr>
                <w:rFonts w:eastAsia="Times New Roman"/>
                <w:noProof/>
                <w:sz w:val="24"/>
              </w:rPr>
              <w:t>82,4 % пассажиропотока.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Пригородные пассажирские перевозки железнодорожным транспортом осуществляются по 6 основным направлениям: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северное направление (Киров – Мураши – Луза);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восточное направление (Киров – Зуевка – Яр – Глазов);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северо-восточное направление (Яр – Светлополянск);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западное направление (Киров – Котельнич – Шабалино);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юго-западное направление (Киров – Котельнич – Ежиха – Пижма);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южное направление (Казань – Вятские Поляны – Ижевск).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28"/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Перечень транспортных центров Субъекта РФ</w:t>
            </w:r>
          </w:p>
        </w:tc>
      </w:tr>
      <w:tr w:rsidR="00BD3C50">
        <w:tc>
          <w:tcPr>
            <w:tcW w:w="10717" w:type="dxa"/>
            <w:gridSpan w:val="28"/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Характеристики ТЦ Субъекта РФ</w:t>
            </w:r>
          </w:p>
        </w:tc>
      </w:tr>
      <w:tr w:rsidR="00BD3C50">
        <w:tc>
          <w:tcPr>
            <w:tcW w:w="10717" w:type="dxa"/>
            <w:gridSpan w:val="28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Реестр пригородных пассажирских сообщений</w:t>
            </w: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bottom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Вид</w:t>
            </w:r>
          </w:p>
        </w:tc>
        <w:tc>
          <w:tcPr>
            <w:tcW w:w="55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203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Наименование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собщения</w:t>
            </w:r>
            <w:proofErr w:type="spellEnd"/>
          </w:p>
        </w:tc>
        <w:tc>
          <w:tcPr>
            <w:tcW w:w="213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Транспортные центры,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включенные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 в сообщение</w:t>
            </w:r>
          </w:p>
        </w:tc>
        <w:tc>
          <w:tcPr>
            <w:tcW w:w="20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Протяженность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сообщения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м</w:t>
            </w:r>
            <w:proofErr w:type="spellEnd"/>
          </w:p>
        </w:tc>
        <w:tc>
          <w:tcPr>
            <w:tcW w:w="14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Социальная значимость</w:t>
            </w:r>
          </w:p>
        </w:tc>
        <w:tc>
          <w:tcPr>
            <w:tcW w:w="124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Примечание</w:t>
            </w:r>
          </w:p>
        </w:tc>
      </w:tr>
      <w:tr w:rsidR="00BD3C50">
        <w:tc>
          <w:tcPr>
            <w:tcW w:w="1247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транспорта</w:t>
            </w:r>
          </w:p>
        </w:tc>
        <w:tc>
          <w:tcPr>
            <w:tcW w:w="55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203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213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воздушная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тарифная</w:t>
            </w:r>
          </w:p>
        </w:tc>
        <w:tc>
          <w:tcPr>
            <w:tcW w:w="14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24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Пижма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Лянгасово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Стрижи, Оричи, Котельнич, Ежиха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153,00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153,00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Ежиха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Лянгасово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Стрижи, Оричи, Котельнич, Ежиха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129,00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136,00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Котельнич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Лянгасово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Стрижи, Оричи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84,00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Лянгасово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Лянгасово</w:t>
            </w:r>
            <w:proofErr w:type="spellEnd"/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Шабалино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Лянгасово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, Стрижи, Оричи, Котельнич, Свеча,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Шабалино</w:t>
            </w:r>
            <w:proofErr w:type="spellEnd"/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153,00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162,00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Подосиновец − Пинюг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Подосиновец, Пинюг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 − Христофорово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 − Луза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Пинюг, Луза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Луза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Пинюг, Луза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Юрья,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97,00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118,00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Зуевка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Кирово-Чепецк, Зуевка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88,00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Яр − Глазов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Кирово-Чепецк, Зуевка,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Фаленки</w:t>
            </w:r>
            <w:proofErr w:type="spellEnd"/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148,00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148,00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Яр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Светлополянск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Омутнинск, Песковка,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Кирс</w:t>
            </w:r>
            <w:proofErr w:type="spellEnd"/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117,00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117,00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Казань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Поляны, Сосновка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 − Ижевск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Поляны, Сосновка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Слободской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39,60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39,60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Матанцы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Поздино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Кирово-Чепецк − 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43,20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43,20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Слободское</w:t>
            </w:r>
            <w:proofErr w:type="gram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75,00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75,00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Исуповская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21,70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21,70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Кирово-Чепецк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Казань - Сосновка 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Поляны, Сосновка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Казань - Сосновка 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Поляны, Сосновка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 - Сосновка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Поляны, Сосновка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Бобино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Сапожнята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Шинник-6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31,90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31,90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Мурыгино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30,20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30,20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Йошкар-Ола - Яранск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Табашино, Яранск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Социально значимое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Адышево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33,50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33,50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Бурмакино −  Вятские Увалы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40,90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40,90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Речное</w:t>
            </w:r>
            <w:proofErr w:type="gram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41,60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41,60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Нижнеивкино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50,90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50,90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Загарье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Пасегово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Марковщина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31,80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31,80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 − садоводческое товарищество «Содружество»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20,80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20,80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 − садоводческое товарищество «Чистые Ключи»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20,20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20,20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Боровица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Баташи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25,90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25,90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Вятские Поляны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54,60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54,60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Яранск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Слободской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Белая Холуница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44,10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44,10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Кумены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63,50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63,50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Стрижи −  Торфяной – Быстрица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40,10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40,10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Медяны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Цепели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49,30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49,30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Советск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46,80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46,80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Коршик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52,10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52,10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садоводческое товарищество «Энергетик» 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18,30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18,30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Кикнур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Яранск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47,20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47,20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Яранск – Пижанка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46,80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46,80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42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Юрья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46,50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46,50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Орлов – Котельнич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49,30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49,30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Пасегово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Глушонки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33,50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33,50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45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Кирово-Чепецк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Фатеево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37,30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37,30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Вятские Поляны −  Большой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Китяк</w:t>
            </w:r>
            <w:proofErr w:type="spellEnd"/>
            <w:proofErr w:type="gram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Санчурск – Яранск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49,90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49,90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Гирсово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28,70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28,70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Зенгино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48,70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48,70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дом отдыха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Кстининский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25,50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25,50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Левинцы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34,30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34,30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Стрижи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Трапицыны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41,20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41,20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53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Ложкари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46,40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46,40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Шутовщина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9,10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55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(Нововятск) − садоводческое товарищество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Сунчиха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» 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10,10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(ул. Андрея Упита)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Исуповская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22,80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22,80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Митино</w:t>
            </w:r>
            <w:proofErr w:type="gram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20,30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20,30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58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садоводческое товарищество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Сунчиха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6,80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6,80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59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Оричи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65,70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65,70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60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Богородское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140,10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140,10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61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Истобенск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63,10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63,10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62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Санчурск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273,50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273,50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Среднеивкино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Верхошижемье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64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Орлов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75,40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75,40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65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Верхошижемье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80,70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80,70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66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Уржум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67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Нолинск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148,10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148,10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68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Советск – Котельнич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104,20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104,20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69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Верхобыстрица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             сельское хозяйство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Березниковский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122,90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122,90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Суна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103,00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103,00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71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Белая Холуница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85,00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85,00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72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73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Советск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137,10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137,10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Котельнич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204,10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204,10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75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Ленинское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86,40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86,40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76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Коробовщина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74,30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74,30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77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183,90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183,90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78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Яранск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219,20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219,20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79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Советск – Пижанка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172,50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172,50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Даровской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185,60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185,60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81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Кикнур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261,00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261,00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82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Вятские Поляны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345,10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345,10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83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116,00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116,00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84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Фаленки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Уни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78,70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78,70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85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291,00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291,00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Кильмезь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246,10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246,10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88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Великорецкое</w:t>
            </w:r>
            <w:proofErr w:type="gram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89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Калачиги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90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Рудничный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244,00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244,00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91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Нолинск – Татаурово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191,10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191,10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92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Яранск – Котельнич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136,70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136,70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93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220,90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220,90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94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Восточный −  Омутнинск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190,00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190,00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96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Даровской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59,60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59,60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97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Кильмезь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98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Песковка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234,00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234,00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Нема</w:t>
            </w:r>
            <w:proofErr w:type="gram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158,50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158,50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Нагорск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138,70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138,70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101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Уржум – Нолинск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60,50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60,50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102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Уржум −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Советск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94,60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94,60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103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Белая Холуница −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Омутнинск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178,00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178,00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104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Омутнинск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178,00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178,00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106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- Русский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Турек</w:t>
            </w:r>
            <w:proofErr w:type="spellEnd"/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221,00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221,00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Маромица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Опарино − Киров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220,00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220,00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Коммерческий</w:t>
            </w:r>
          </w:p>
        </w:tc>
        <w:tc>
          <w:tcPr>
            <w:tcW w:w="12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28"/>
            <w:tcBorders>
              <w:top w:val="single" w:sz="5" w:space="0" w:color="000000"/>
            </w:tcBorders>
            <w:shd w:val="clear" w:color="auto" w:fill="auto"/>
          </w:tcPr>
          <w:p w:rsidR="00BD3C50" w:rsidRDefault="00E022C0">
            <w:pPr>
              <w:pStyle w:val="p"/>
              <w:spacing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Социально-значимые сообщения выделены на основании следующих критериев: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отсутствие альтернативного вида транспорта;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наличие пассажиропотока.ф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28"/>
            <w:shd w:val="clear" w:color="auto" w:fill="auto"/>
          </w:tcPr>
          <w:p w:rsidR="00BD3C50" w:rsidRDefault="00E022C0">
            <w:pPr>
              <w:pStyle w:val="3"/>
              <w:spacing w:line="232" w:lineRule="auto"/>
              <w:rPr>
                <w:rFonts w:ascii="Times New Roman" w:eastAsia="Times New Roman" w:hAnsi="Times New Roman" w:cs="Times New Roman" w:hint="default"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2.1.1 Железнодорожный транспорт</w:t>
            </w:r>
          </w:p>
        </w:tc>
      </w:tr>
      <w:tr w:rsidR="00BD3C50">
        <w:tc>
          <w:tcPr>
            <w:tcW w:w="10717" w:type="dxa"/>
            <w:gridSpan w:val="28"/>
            <w:shd w:val="clear" w:color="auto" w:fill="auto"/>
          </w:tcPr>
          <w:p w:rsidR="00BD3C50" w:rsidRDefault="00E022C0">
            <w:pPr>
              <w:pStyle w:val="p"/>
              <w:spacing w:after="240" w:line="360" w:lineRule="auto"/>
              <w:ind w:firstLine="709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Территория Кировской области обслуживается Горьковской железной дорогой. Эксплуатационная длина дороги составляет 1098 км. 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Перевозки пассажиров и багажа железнодорожным транспортом в пригородном сообщении на территории Кировской области осуществляют две пассажирские компании: открытое акционерное общество «Волго-Вятская пригородная пассажирская компания» (далее – ОАО «ВВППК») и открытое акционерное общество «Содружество» (далее – </w:t>
            </w:r>
            <w:r>
              <w:rPr>
                <w:rFonts w:eastAsia="Times New Roman"/>
                <w:noProof/>
                <w:sz w:val="24"/>
              </w:rPr>
              <w:br/>
              <w:t>ОАО «Содружество»).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Эксплуатационные показатели и показатели технической оснащенности Горьковской железной дороги приведены в таблицах и на схеме ниже.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28"/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Эксплуатационные и технические показатели железной дороги</w:t>
            </w: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-</w:t>
            </w:r>
          </w:p>
        </w:tc>
        <w:tc>
          <w:tcPr>
            <w:tcW w:w="157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  <w:t>Сообщение, участок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Год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Показатели технической оснащенности</w:t>
            </w:r>
          </w:p>
        </w:tc>
        <w:tc>
          <w:tcPr>
            <w:tcW w:w="361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Эксплуатационные показатели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Примечание</w:t>
            </w: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Начальная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станция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Конечная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станция</w:t>
            </w:r>
          </w:p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270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Эксплуатационная длина,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км</w:t>
            </w:r>
            <w:proofErr w:type="gramEnd"/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Вид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тяги</w:t>
            </w:r>
          </w:p>
        </w:tc>
        <w:tc>
          <w:tcPr>
            <w:tcW w:w="361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Размеры движения пар поездов/сутки</w:t>
            </w:r>
          </w:p>
        </w:tc>
        <w:tc>
          <w:tcPr>
            <w:tcW w:w="67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Область</w:t>
            </w:r>
          </w:p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270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57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Грузовое движение</w:t>
            </w:r>
          </w:p>
        </w:tc>
        <w:tc>
          <w:tcPr>
            <w:tcW w:w="20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Пассажирское движение</w:t>
            </w:r>
          </w:p>
        </w:tc>
        <w:tc>
          <w:tcPr>
            <w:tcW w:w="67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4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-</w:t>
            </w:r>
          </w:p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4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Всего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4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1 путь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4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 путь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4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3 путь</w:t>
            </w:r>
          </w:p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4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Туда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4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Обратно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4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Лето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4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Зима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4" w:type="dxa"/>
              <w:left w:w="14" w:type="dxa"/>
              <w:right w:w="14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всего</w:t>
            </w:r>
          </w:p>
        </w:tc>
        <w:tc>
          <w:tcPr>
            <w:tcW w:w="67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Котельнич-2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Шахунья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248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124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342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171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Пижма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358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179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Фаленки</w:t>
            </w:r>
            <w:proofErr w:type="spellEnd"/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278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139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Котельнич-2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Шахунья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248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124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Сосновка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173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173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Стрижи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Ежиха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272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136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Пижма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Котельнич-2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Казань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2017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77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Кировская область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Котельнич 1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Пижма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Котельнич-2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Котельнич-1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Шахунья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261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Шабалино</w:t>
            </w:r>
            <w:proofErr w:type="spellEnd"/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162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162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Лянгасово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пасс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Котельнич 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Шахунья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Ежиха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160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Фаленки</w:t>
            </w:r>
            <w:proofErr w:type="spellEnd"/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278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139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342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171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Шахунья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Пижма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Шахунья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Ежиха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160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Стрижи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Ижевск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Котельнич-2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Урень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362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181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Пижма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358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179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Шабалино</w:t>
            </w:r>
            <w:proofErr w:type="spellEnd"/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162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162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Котельнич-2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Урень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362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181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Лянгасово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пасс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Зуевка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210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Котельнич-1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Шахунья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261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Зуевка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210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Киров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Ежиха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272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136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Котельнич-2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Шахунья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248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124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Ижевск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77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1,50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Сосновка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173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173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Шахунья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Пижма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Опарино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113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Христофорово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Верхнекамская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179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Йошкар-Ола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Яранск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91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Светлополянск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156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Светлополянск</w:t>
            </w:r>
            <w:proofErr w:type="spellEnd"/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156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123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Подосиновец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Опарино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118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118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Верхнекамская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179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123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Опарино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113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Христофорово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Подосиновец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118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118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Йошкар-Ола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Яранск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91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Опарино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Тепловозная тяга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28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Технико-эксплуатационные показатели работы железнодорожного транспорта по сообщениям</w:t>
            </w: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Сообщение, группа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lastRenderedPageBreak/>
              <w:t>маршрутов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lastRenderedPageBreak/>
              <w:t xml:space="preserve">Размеры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lastRenderedPageBreak/>
              <w:t>движения,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пар/сутки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lastRenderedPageBreak/>
              <w:t xml:space="preserve">Дальность,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км</w:t>
            </w:r>
            <w:proofErr w:type="gramEnd"/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Время хода,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ч</w:t>
            </w:r>
            <w:proofErr w:type="gramEnd"/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Вагоно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-ч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Вагоно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-км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Поездо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-ч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Примечание</w:t>
            </w: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1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Пижма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153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4,10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11 972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446 760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2 993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Ежиха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136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3,07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26 893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1 191 360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6 723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Котельнич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35 040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1 524 240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8 760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Лянгасово</w:t>
            </w:r>
            <w:proofErr w:type="spellEnd"/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0,31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2 716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122 640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679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Шабалино</w:t>
            </w:r>
            <w:proofErr w:type="spellEnd"/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162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3,20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28 032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1 419 120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7 008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Подосиновец − Пинюг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1,55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1 132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40 880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1 132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 − Христофорово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1,58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2 307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64 240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2 307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 − Луза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1,41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1 029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41 610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1 029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Луза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4,18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12 206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525 600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3 051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118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3,02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33 069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1 292 100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6 614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Зуевка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2,01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5 869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306 600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1 467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Яр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148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3,07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35 858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1 728 640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8 964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Яр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Светлополянск</w:t>
            </w:r>
            <w:proofErr w:type="spellEnd"/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117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4,56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13 315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341 640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6 658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Казань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0,55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6 822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332 056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1 324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- Вятские Поляны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0,50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0,35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839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40 880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 - Сосновка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0,47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7 991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385 440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1 454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 - Вятские Поляны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0,90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0,10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212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13 540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</w:t>
            </w:r>
          </w:p>
        </w:tc>
        <w:tc>
          <w:tcPr>
            <w:tcW w:w="21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 - Ижевск</w:t>
            </w:r>
          </w:p>
        </w:tc>
        <w:tc>
          <w:tcPr>
            <w:tcW w:w="1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0,50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1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0,55</w:t>
            </w:r>
          </w:p>
        </w:tc>
        <w:tc>
          <w:tcPr>
            <w:tcW w:w="11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887</w:t>
            </w:r>
          </w:p>
        </w:tc>
        <w:tc>
          <w:tcPr>
            <w:tcW w:w="11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40 880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222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</w:tbl>
    <w:p w:rsidR="00BD3C50" w:rsidRDefault="00BD3C50">
      <w:pPr>
        <w:sectPr w:rsidR="00BD3C50">
          <w:headerReference w:type="default" r:id="rId8"/>
          <w:footerReference w:type="default" r:id="rId9"/>
          <w:pgSz w:w="11906" w:h="16838"/>
          <w:pgMar w:top="567" w:right="567" w:bottom="517" w:left="567" w:header="567" w:footer="517" w:gutter="0"/>
          <w:cols w:space="708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2149"/>
        <w:gridCol w:w="1347"/>
        <w:gridCol w:w="902"/>
        <w:gridCol w:w="903"/>
        <w:gridCol w:w="903"/>
        <w:gridCol w:w="802"/>
        <w:gridCol w:w="903"/>
        <w:gridCol w:w="903"/>
        <w:gridCol w:w="902"/>
        <w:gridCol w:w="903"/>
        <w:gridCol w:w="903"/>
        <w:gridCol w:w="788"/>
        <w:gridCol w:w="902"/>
        <w:gridCol w:w="903"/>
        <w:gridCol w:w="903"/>
        <w:gridCol w:w="57"/>
      </w:tblGrid>
      <w:tr w:rsidR="00BD3C50">
        <w:tc>
          <w:tcPr>
            <w:tcW w:w="15632" w:type="dxa"/>
            <w:gridSpan w:val="17"/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lastRenderedPageBreak/>
              <w:t>Технико-эксплуатационных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 xml:space="preserve"> показатели работы железнодорожного транспорта по сообщениям</w:t>
            </w:r>
          </w:p>
        </w:tc>
      </w:tr>
      <w:tr w:rsidR="00BD3C50">
        <w:tc>
          <w:tcPr>
            <w:tcW w:w="15632" w:type="dxa"/>
            <w:gridSpan w:val="17"/>
            <w:shd w:val="clear" w:color="auto" w:fill="auto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</w:p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Объем парка железнодорожного подвижного состава на начало года</w:t>
            </w: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Сообщение, группа маршрутов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Размеры движения,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пар/сутки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2026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2027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2030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переменного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182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переменного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53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постоянного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постоянного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Рельсовый автобус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Рельсовый автобус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Локомотивная тяга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Локомотивная тяга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Дизель-поезда</w:t>
            </w:r>
            <w:proofErr w:type="gramEnd"/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Дизель-поезда</w:t>
            </w:r>
            <w:proofErr w:type="gramEnd"/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Итого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Итого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53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15632" w:type="dxa"/>
            <w:gridSpan w:val="17"/>
            <w:shd w:val="clear" w:color="auto" w:fill="auto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</w:p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Потребность в подвижном составе на обеспечение транспортного заказа</w:t>
            </w: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Сообщение, группа маршрутов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Размеры движения,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пар/сутки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2026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2027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2030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переменного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182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переменного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53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постоянного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постоянного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Рельсовый автобус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Рельсовый автобус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Локомотивная тяга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Локомотивная тяга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Дизель-поезда</w:t>
            </w:r>
            <w:proofErr w:type="gramEnd"/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Дизель-поезда</w:t>
            </w:r>
            <w:proofErr w:type="gramEnd"/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Итого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Итого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53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15632" w:type="dxa"/>
            <w:gridSpan w:val="17"/>
            <w:shd w:val="clear" w:color="auto" w:fill="auto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</w:p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Выбытие железнодорожного подвижного состава</w:t>
            </w: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Сообщение, группа маршрутов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Размеры движения,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пар/сутки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2026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2027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2030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Электропоезда переменного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2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переменного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постоянного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постоянного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Рельсовый автобус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Рельсовый автобус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Локомотивная тяга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Локомотивная тяга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Дизель-поезда</w:t>
            </w:r>
            <w:proofErr w:type="gramEnd"/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Дизель-поезда</w:t>
            </w:r>
            <w:proofErr w:type="gramEnd"/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Итого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Итого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15632" w:type="dxa"/>
            <w:gridSpan w:val="17"/>
            <w:shd w:val="clear" w:color="auto" w:fill="auto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</w:p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Приобретение железнодорожного подвижного состава</w:t>
            </w: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Сообщение, группа маршрутов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Размеры движения,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пар/сутки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2026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2027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2030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переменного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переменного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переменного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Сумма,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млн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руб.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475,5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1426,7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979,9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508,96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507,85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переменного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Механизм приобретения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лизинг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лизинг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лизинг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лизинг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лизинг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постоянного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постоянного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постоянного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Сумма,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млн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руб.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постоянного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Механизм приобретения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Рельсовый автобус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Рельсовый автобус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Рельсовый автобус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Сумма,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млн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руб.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Рельсовый автобус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Механизм приобретения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Локомотивная тяга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Локомотивная тяга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Локомотивная тяга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Сумма,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млн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руб.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Локомотивная тяга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Механизм приобретения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аренда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аренда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аренда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аренда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Дизель-поезда</w:t>
            </w:r>
            <w:proofErr w:type="gramEnd"/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Дизель-поезда</w:t>
            </w:r>
            <w:proofErr w:type="gramEnd"/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Дизель-поезда</w:t>
            </w:r>
            <w:proofErr w:type="gramEnd"/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Сумма,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млн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руб.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20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Дизель-поезда</w:t>
            </w:r>
            <w:proofErr w:type="gramEnd"/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Механизм приобретения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Итого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Итого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Итого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Сумма,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млн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руб.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475,5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1426,7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979,9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508,96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507,85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15632" w:type="dxa"/>
            <w:gridSpan w:val="17"/>
            <w:shd w:val="clear" w:color="auto" w:fill="auto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</w:p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Объем парка железнодорожного подвижного состава на конец года</w:t>
            </w: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Сообщение, группа маршрутов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Размеры движения,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пар/сутки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2026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2027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2030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переменного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181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182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переменного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53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постоянного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Электропоезда постоянного тока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Рельсовый автобус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Рельсовый автобус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Локомотивная тяга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Локомотивная тяга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Дизель-поезда</w:t>
            </w:r>
            <w:proofErr w:type="gramEnd"/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Дизель-поезда</w:t>
            </w:r>
            <w:proofErr w:type="gramEnd"/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Итого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203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Итого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Составы, ед.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53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BD3C50" w:rsidRDefault="00BD3C50"/>
        </w:tc>
      </w:tr>
    </w:tbl>
    <w:p w:rsidR="00BD3C50" w:rsidRDefault="00BD3C50">
      <w:pPr>
        <w:sectPr w:rsidR="00BD3C50">
          <w:headerReference w:type="default" r:id="rId10"/>
          <w:footerReference w:type="default" r:id="rId11"/>
          <w:pgSz w:w="16838" w:h="11906" w:orient="landscape"/>
          <w:pgMar w:top="567" w:right="567" w:bottom="517" w:left="567" w:header="567" w:footer="517" w:gutter="0"/>
          <w:cols w:space="708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1018"/>
        <w:gridCol w:w="2264"/>
        <w:gridCol w:w="1576"/>
        <w:gridCol w:w="1346"/>
        <w:gridCol w:w="1362"/>
        <w:gridCol w:w="1232"/>
        <w:gridCol w:w="1246"/>
      </w:tblGrid>
      <w:tr w:rsidR="00BD3C50">
        <w:tc>
          <w:tcPr>
            <w:tcW w:w="10717" w:type="dxa"/>
            <w:gridSpan w:val="8"/>
            <w:shd w:val="clear" w:color="auto" w:fill="auto"/>
          </w:tcPr>
          <w:p w:rsidR="00BD3C50" w:rsidRDefault="00E022C0">
            <w:pPr>
              <w:pStyle w:val="3"/>
              <w:spacing w:line="232" w:lineRule="auto"/>
              <w:rPr>
                <w:rFonts w:ascii="Times New Roman" w:eastAsia="Times New Roman" w:hAnsi="Times New Roman" w:cs="Times New Roman" w:hint="default"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lastRenderedPageBreak/>
              <w:t>2.1.2 Автомобильный транспорт</w:t>
            </w:r>
          </w:p>
        </w:tc>
      </w:tr>
      <w:tr w:rsidR="00BD3C50">
        <w:tc>
          <w:tcPr>
            <w:tcW w:w="10717" w:type="dxa"/>
            <w:gridSpan w:val="8"/>
            <w:shd w:val="clear" w:color="auto" w:fill="auto"/>
          </w:tcPr>
          <w:p w:rsidR="00BD3C50" w:rsidRDefault="00E022C0">
            <w:pPr>
              <w:pStyle w:val="p"/>
              <w:spacing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Протяженность автомобильных дорог общего пользования федерального значения в Кировской области составляет 389,333 км,  регионального или межмуниципального значения − 2974,645 км.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Из общей протяженности автодорог регионального или межмуниципального значения  имеют: асфальтобетонное покрытие − 2343,426 км; цементобетонное покрытие − 36 км; ж/б колея – 117,62 км; гравийное и щебеночное покрытие – 409,299 км; грунтовые – 68,3 км. 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8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Состояние автодорог общего пользования регионального или межмуниципального значения Кировской области можно охарактеризовать как удовлетворительное.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8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Общее количество мостов – 143 шт., из которых: 115 железобетонных мостов; 8 путепроводов и эстакад; 20 металлических мостов; 2519 водопропускных труб общей протяженностью 45974,85 м. Общая протяженность мостов 11035,58 м.</w:t>
            </w:r>
          </w:p>
          <w:p w:rsidR="00BD3C50" w:rsidRDefault="00D629EA">
            <w:pPr>
              <w:pStyle w:val="p"/>
              <w:spacing w:before="240" w:after="240" w:line="360" w:lineRule="auto"/>
              <w:ind w:firstLine="708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6151880" cy="4791710"/>
                  <wp:effectExtent l="0" t="0" r="127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880" cy="479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C50" w:rsidRDefault="00E022C0">
            <w:pPr>
              <w:pStyle w:val="p"/>
              <w:spacing w:before="240" w:after="240" w:line="360" w:lineRule="auto"/>
              <w:ind w:firstLine="708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В настоящее время в соответствии с полномочиями субъекта Российской Федерации в Кировской области действует 44 пригородных автобусных маршрута и 49 междугородних маршрутов. 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8"/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Параметры автомобильных дорог</w:t>
            </w:r>
          </w:p>
        </w:tc>
      </w:tr>
      <w:tr w:rsidR="00BD3C50">
        <w:tc>
          <w:tcPr>
            <w:tcW w:w="10717" w:type="dxa"/>
            <w:gridSpan w:val="8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Автобусные маршруты</w:t>
            </w: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 маршрута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Наименование маршрута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Трасса следования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lastRenderedPageBreak/>
              <w:t>маршрута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lastRenderedPageBreak/>
              <w:t xml:space="preserve">Протяжённость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lastRenderedPageBreak/>
              <w:t xml:space="preserve">маршрута,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км</w:t>
            </w:r>
            <w:proofErr w:type="gramEnd"/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lastRenderedPageBreak/>
              <w:t>Регулярность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lastRenderedPageBreak/>
              <w:t>рейсов в сутки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lastRenderedPageBreak/>
              <w:t>Примечание</w:t>
            </w: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1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«Слободской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«Слободской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103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«Кирово-Чепецк − 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«Кирово-Чепецк − 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(«Детский мир»)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Исуповская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(сезонный)»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(«Детский мир»)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Исуповская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(сезонный)»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(«Детский мир»)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Исуповская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(сезонный)»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(«Детский мир»)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Исуповская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(сезонный)»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Бобино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Сапожнята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Шинник-6»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Бобино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Сапожнята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Шинник-6»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Мурыгино»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Мурыгино»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Адышево»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Адышево»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Бурмакино −  Вятские Увалы»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Бурмакино −  Вятские Увалы»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Речное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Речное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Нижнеивкино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Нижнеивкино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113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Загарье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Загарье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Пасегово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Марковщина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Пасегово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Марковщина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(завод «Маяк») −   сады «Содружество» (сезонный)»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(завод «Маяк») −   сады «Содружество» (сезонный)»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витек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) −  сады «Чистые Ключи» (сезонный)»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витек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) −  сады «Чистые Ключи» (сезонный)»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Боровица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Баташи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Боровица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Баташи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Вятские Поляны»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Вятские Поляны»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123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Яранск»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Яранск»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Слободской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Белая Холуница»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Слободской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Белая Холуница»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Кумены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Кумены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Стрижи −  Торфяной – Быстрица»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Стрижи −  Торфяной – Быстрица»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Медяны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Медяны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Цепели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Цепели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Советск»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Советск»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133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Коршик»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Коршик»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(Комсомольская пл.) −  сады «Энергетик» (сезонный)» 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(Комсомольская пл.) −  сады «Энергетик» (сезонный)» 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Кикнур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Яранск»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Кикнур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Яранск»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«Яранск – Пижанка»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«Яранск – Пижанка»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Юрья»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Юрья»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«Орлов – Котельнич»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«Орлов – Котельнич»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Пасегово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Глушонки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(сезонный)» 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Пасегово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Глушонки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(сезонный)» 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«Кирово-Чепецк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Фатеево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«Кирово-Чепецк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Фатеево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«Вятские Поляны −  Большой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Китяк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район)» 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«Вятские Поляны −  Большой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Китяк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район)» 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«Санчурск – Яранск»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«Санчурск – Яранск»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Гирсово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Гирсово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дом отдыха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Кстининский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дом отдыха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Кстининский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Левинцы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Левинцы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Стрижи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Трапицыны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(сезонный)»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Стрижи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Трапицыны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(сезонный)»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Ложкари»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Ложкари»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(Нововятск)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Шутовщина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» 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(Нововятск)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Шутовщина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» 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(Нововятск) −  сады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Сунчиха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 (сезонный)»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 xml:space="preserve">«Киров (Нововятск) −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сады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Сунчиха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 (сезонный)»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40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(ул. Андрея Упита)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Исуповская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(сезонный)»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(ул. Андрея Упита)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Исуповская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(сезонный)»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Митино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Митино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(Нововятск, парк) −  сады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Сунчиха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 (сезонный)»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(Нововятск, парк) −  сады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Сунчиха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 (сезонный)»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«Оричи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«Оричи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Богородское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Богородское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203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Истобенск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Истобенск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«Санчурск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«Санчурск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Среднеивкино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Верхошижемье»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Среднеивкино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Верхошижемье»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Орлов»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Орлов»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Верхошижемье»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Верхошижемье»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Уржум»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Уржум»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Нолинск»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Нолинск»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213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«Советск – Котельнич»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«Советск – Котельнич»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Верхобыстрица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             сельское хозяйство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Березниковский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Верхобыстрица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             сельское хозяйство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Березниковский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Суна»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Суна»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«Белая Холуница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«Белая Холуница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Советск»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Советск»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58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Котельнич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Котельнич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59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«п.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Ленинское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«п.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Ленинское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223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Коробовщина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Коробовщина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61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Яранск»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Яранск»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Советск – Пижанка»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Советск – Пижанка»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64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Даровской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Даровской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Кикнур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Кикнур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Вятские Поляны»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Вятские Поляны»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67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68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Фаленки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Фаленки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69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71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Кильмезь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Кильмезь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Великорецкое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Великорецкое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Калачиги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Калачиги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«Рудничный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«Рудничный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Нолинск – Татаурово»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−  Нолинск – Татаурово»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«Яранск – Котельнич»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«Яранск – Котельнич»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77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78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253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«п. Восточный −  Омутнинск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«п. Восточный −  Омутнинск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79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Даровской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Даровской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81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Кильмезь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Кильмезь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«Песковка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«Песковка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Нема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Нема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84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Нагорск»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Нагорск»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85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«Уржум – Нолинск»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«Уржум – Нолинск»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«Уржум −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Советск»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«Уржум −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Советск»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«Белая Холуница −  Омутнинск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«Белая Холуница −  Омутнинск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88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Омутнинск»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«Киров – Омутнинск»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89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- Русский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Турек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«Киров - Русский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Турек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91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Маромица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пгт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 Опарино −       Киров»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«п.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Маромица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пгт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 Опарино −       Киров»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8"/>
            <w:tcBorders>
              <w:top w:val="single" w:sz="5" w:space="0" w:color="000000"/>
            </w:tcBorders>
            <w:shd w:val="clear" w:color="auto" w:fill="auto"/>
          </w:tcPr>
          <w:p w:rsidR="00BD3C50" w:rsidRDefault="00E022C0">
            <w:pPr>
              <w:pStyle w:val="p"/>
              <w:spacing w:after="240" w:line="360" w:lineRule="auto"/>
              <w:ind w:firstLine="708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Перевозка пассажиров осуществляется автобусами малой, средней и большой вместимости в зависимости от интенсивности пассажиропотока.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8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Общий автомобильный пассажиропоток общественного транспорта по всем сообщениям за 2014 год составляет 144,2</w:t>
            </w:r>
            <w:r>
              <w:rPr>
                <w:rFonts w:eastAsia="Times New Roman"/>
                <w:noProof/>
                <w:color w:val="FF0000"/>
                <w:sz w:val="24"/>
              </w:rPr>
              <w:t xml:space="preserve"> </w:t>
            </w:r>
            <w:r>
              <w:rPr>
                <w:rFonts w:eastAsia="Times New Roman"/>
                <w:noProof/>
                <w:sz w:val="24"/>
              </w:rPr>
              <w:t>млн. пассажиров в год (по данным отчетности перевозчиков).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В Кировской области реализуется комплекс мер по оказанию государственной поддержки транспортных организаций и перевозчиков в целях обеспечения социально-значимых пассажирских перевозок, а также льготного проезда отдельных категорий граждан по территории Кировской области. В 2014 году на указанные мероприятия бюджетом было выделено 323,5 млн. рублей, профинансировано 323,5 млн. рублей.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8"/>
            <w:shd w:val="clear" w:color="auto" w:fill="auto"/>
          </w:tcPr>
          <w:p w:rsidR="00BD3C50" w:rsidRDefault="00E022C0">
            <w:pPr>
              <w:pStyle w:val="3"/>
              <w:spacing w:line="232" w:lineRule="auto"/>
              <w:rPr>
                <w:rFonts w:ascii="Times New Roman" w:eastAsia="Times New Roman" w:hAnsi="Times New Roman" w:cs="Times New Roman" w:hint="default"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2.1.3 Внутренний водный транспорт</w:t>
            </w:r>
          </w:p>
        </w:tc>
      </w:tr>
      <w:tr w:rsidR="00BD3C50">
        <w:tc>
          <w:tcPr>
            <w:tcW w:w="10717" w:type="dxa"/>
            <w:gridSpan w:val="8"/>
            <w:shd w:val="clear" w:color="auto" w:fill="auto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 xml:space="preserve">2.2. Параметры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внутрирегионального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 xml:space="preserve"> транспортного баланса в существующих условиях</w:t>
            </w:r>
          </w:p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BD3C50">
        <w:tc>
          <w:tcPr>
            <w:tcW w:w="10717" w:type="dxa"/>
            <w:gridSpan w:val="8"/>
            <w:shd w:val="clear" w:color="auto" w:fill="auto"/>
          </w:tcPr>
          <w:p w:rsidR="00BD3C50" w:rsidRDefault="00E022C0">
            <w:pPr>
              <w:pStyle w:val="p"/>
              <w:spacing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Внутрирегиональный транспортный баланс (далее – ВРТБ) – это формализованное описание миграции населения в пределах субъекта Российской Федерации с использованием общественного пригородного транспорта.</w:t>
            </w:r>
            <w:r>
              <w:rPr>
                <w:rFonts w:eastAsia="Times New Roman"/>
                <w:noProof/>
                <w:sz w:val="24"/>
              </w:rPr>
              <w:br/>
            </w:r>
            <w:r>
              <w:rPr>
                <w:rFonts w:eastAsia="Times New Roman"/>
                <w:noProof/>
                <w:sz w:val="24"/>
              </w:rPr>
              <w:br/>
            </w:r>
            <w:r w:rsidR="00D629EA">
              <w:rPr>
                <w:rFonts w:eastAsia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6144895" cy="7139940"/>
                  <wp:effectExtent l="0" t="0" r="825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895" cy="713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Анализ ВРТБ показывает, что существующие параметры обслуживания достаточны для удовлетворения потребностей населения в перевозках. Однако с учетом предельного дефицита областного бюджета требуется проведение мероприятий по оптимизации схемы транспортного обслуживания.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8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lastRenderedPageBreak/>
              <w:t>ВРТБ в существующих условиях</w:t>
            </w:r>
          </w:p>
        </w:tc>
      </w:tr>
    </w:tbl>
    <w:p w:rsidR="00BD3C50" w:rsidRDefault="00BD3C50"/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444"/>
        <w:gridCol w:w="1361"/>
        <w:gridCol w:w="788"/>
        <w:gridCol w:w="903"/>
        <w:gridCol w:w="788"/>
        <w:gridCol w:w="1017"/>
        <w:gridCol w:w="1017"/>
        <w:gridCol w:w="788"/>
        <w:gridCol w:w="903"/>
        <w:gridCol w:w="559"/>
        <w:gridCol w:w="1246"/>
      </w:tblGrid>
      <w:tr w:rsidR="00BD3C50">
        <w:trPr>
          <w:tblHeader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  <w:lastRenderedPageBreak/>
              <w:t>Вид транспорта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Сообщение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Протяженность,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км</w:t>
            </w:r>
            <w:proofErr w:type="gramEnd"/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Пассажиропоток Всего, тыс. пасс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од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Пассажиропоток Пиковый*, пасс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ас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Маршруты по видам транспорта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Регулярность обслуживания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Количество оборотных рейсов, в сутки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Интервал между отправлениями в часы "пик"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  <w:t>Интервал между отправлениями в непиковые часы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Примечание</w:t>
            </w: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Пижма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407,20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Ежиха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136,00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321,60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543,10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Лянгасово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224,50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Шабалино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162,00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338,30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Подосиновец − Пинюг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 − Христофорово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 − Луза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Луза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268,60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118,00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414,30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Зуевка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Яр − Глазов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148,00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720,10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Яр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Светлополянск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117,00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164,60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Казань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99,55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 − Ижевск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11,77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Слободской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2 452,30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 - Сосновка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115,89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ежедневно, летний период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Кирово-Чепецк − 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43,20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1 636,70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Исуповская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21,70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Бобино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Сапожнята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Шинник-6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Мурыгино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30,20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438,60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Адышево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Бурмакино −  Вятские Увалы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73,20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Речное</w:t>
            </w:r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Нижнеивкино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290,00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Загарье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9,90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Пасегово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Марковщина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31,80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513,10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 − садоводческое товарищество «Содружество»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20,80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 − садоводческое товарищество «Чистые Ключи»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20,20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Боровица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Баташи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110,60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Вятские Поляны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72,80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Яранск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lastRenderedPageBreak/>
              <w:t>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32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Слободской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Белая Холуница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44,10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lastRenderedPageBreak/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Кумены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63,50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168,00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Стрижи −  Торфяной – Быстрица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40,10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225,00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Медяны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91,70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Цепели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49,30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Советск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Коршик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52,10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55,70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садоводческое товарищество «Энергетик» 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18,30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Кикнур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Яранск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47,20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Яранск – Пижанка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Юрья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310,60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Орлов –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49,30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Пасегово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Глушонки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Кирово-Чепецк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Фатеево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37,30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Вятские Поляны −  Большой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Китяк</w:t>
            </w:r>
            <w:proofErr w:type="spellEnd"/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Санчурск – Яранск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Гирсово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28,70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Зенгино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48,70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дом отдыха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Кстининский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25,50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45,30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Левинцы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34,30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120,30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Стрижи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Трапицыны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41,20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Ложкари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64,30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Шутовщина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306,50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(Нововятск) − садоводческое товарищество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Сунчиха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» 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(ул. Андрея Упита)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Исуповская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22,80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132,80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Митино</w:t>
            </w:r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20,30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садоводческое товарищество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Сунчиха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Оричи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65,70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Богородское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140,10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Истобенск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63,10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Санчурск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273,50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Среднеивкино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Верхошижемье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lastRenderedPageBreak/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Орлов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75,40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Верхошижемье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80,70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1,90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Уржум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Нолинск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148,10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Советск –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104,20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6,90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Верхобыстрица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             сельское хозяйство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Березниковский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122,90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Суна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Белая Холуница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85,00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93,70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Советск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137,10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55,30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Котельнич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204,40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Ленинское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86,40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Коробовщина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74,30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Яранск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219,20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Советск – Пижанка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172,50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Даровской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185,60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Кикнур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261,00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4,90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Вятские Поляны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345,10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116,00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Фаленки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Уни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78,70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291,00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Кильмезь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246,10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Великорецкое</w:t>
            </w:r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Калачиги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Рудничный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244,00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Нолинск – Татаурово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191,10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Яранск –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136,70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Восточный −  Омутнинск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190,00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Даровской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59,60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Кильмезь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lastRenderedPageBreak/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Песковка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234,00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Нема</w:t>
            </w:r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158,50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Нагорск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138,70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Уржум – Нолинск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60,50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Уржум −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Советск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94,60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Белая Холуница −  Омутнинск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178,00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Омутнинск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178,00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49,90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- Русский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Турек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221,00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4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Маромица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Опарино −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12"/>
            <w:tcBorders>
              <w:top w:val="single" w:sz="5" w:space="0" w:color="000000"/>
            </w:tcBorders>
            <w:shd w:val="clear" w:color="auto" w:fill="auto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2.3. Параметры транспортного обслуживания населения в части пригородных пассажирских перевозок</w:t>
            </w:r>
          </w:p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BD3C50">
        <w:tc>
          <w:tcPr>
            <w:tcW w:w="10717" w:type="dxa"/>
            <w:gridSpan w:val="12"/>
            <w:shd w:val="clear" w:color="auto" w:fill="auto"/>
          </w:tcPr>
          <w:p w:rsidR="00BD3C50" w:rsidRDefault="00E022C0">
            <w:pPr>
              <w:pStyle w:val="p"/>
              <w:spacing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Значения агрегированных параметров транспортного обслуживания населения Кировской области сведены в сбалансированную систему параметров транспортного обслуживания (ССП ТО).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12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ССП ТО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Инерционный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)</w:t>
            </w:r>
          </w:p>
        </w:tc>
      </w:tr>
    </w:tbl>
    <w:p w:rsidR="00BD3C50" w:rsidRDefault="00BD3C50"/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2822"/>
        <w:gridCol w:w="674"/>
        <w:gridCol w:w="688"/>
        <w:gridCol w:w="673"/>
        <w:gridCol w:w="673"/>
        <w:gridCol w:w="674"/>
        <w:gridCol w:w="688"/>
        <w:gridCol w:w="673"/>
        <w:gridCol w:w="673"/>
        <w:gridCol w:w="674"/>
        <w:gridCol w:w="1246"/>
      </w:tblGrid>
      <w:tr w:rsidR="00BD3C50">
        <w:trPr>
          <w:tblHeader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bottom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282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Наименование параметра,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ед. изм.</w:t>
            </w:r>
          </w:p>
        </w:tc>
        <w:tc>
          <w:tcPr>
            <w:tcW w:w="609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Значение показателя</w:t>
            </w:r>
          </w:p>
        </w:tc>
        <w:tc>
          <w:tcPr>
            <w:tcW w:w="1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Примечание</w:t>
            </w:r>
          </w:p>
        </w:tc>
      </w:tr>
      <w:tr w:rsidR="00BD3C50">
        <w:trPr>
          <w:tblHeader/>
        </w:trPr>
        <w:tc>
          <w:tcPr>
            <w:tcW w:w="55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/п</w:t>
            </w:r>
          </w:p>
        </w:tc>
        <w:tc>
          <w:tcPr>
            <w:tcW w:w="282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2018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2030</w:t>
            </w:r>
          </w:p>
        </w:tc>
        <w:tc>
          <w:tcPr>
            <w:tcW w:w="124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01.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Объем отправленных пассажиров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., Тыс. пассажиров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12 550,40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12 284,11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12 012,70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10 468,37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10 515,13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10 515,13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12 012,70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11 862,70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10 577,90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01.1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Тыс. пассажиров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3 996,40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3 730,11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3 862,70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3 021,21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3 067,97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3 067,97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3 862,70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3 862,70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3 862,70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01.2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Тыс. пассажиров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8 554,00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8 554,00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8 150,00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7 447,16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7 447,16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7 447,16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8 150,00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8 000,00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6 715,20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01.3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Тыс. пассажиров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02.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Пассажирооборот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.,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480,70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381,20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388,83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414,27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417,29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417,29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411,71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411,71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411,71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02.1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Железнодорожный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245,57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189,50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188,99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170,34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173,36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173,36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167,78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167,78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167,78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02.2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Автомобильный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235,13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191,70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199,84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02.3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Внутренний водный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03.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Коэффициент подвижности (мобильности) населения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., 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9,60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9,37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9,40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9,55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03.1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Пасс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 1 чел.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3,06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2,97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3,01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3,01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03.2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Пасс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 1 чел.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6,54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6,42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6,36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6,36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6,36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6,36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6,36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6,34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6,42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03.3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Пасс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 1 чел.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04.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Доля жителей, имеющих доступ к регулярному транспортному обслуживанию населения в пригородном сообщении, Процент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05.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Число населённых пунктов, не имеющих доступ к регулярному транспортному обслуживанию населения в пригородном сообщении, Единица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06.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Плотность транспортной сети,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., км/км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  <w:proofErr w:type="gramEnd"/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06.1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км/км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  <w:proofErr w:type="gramEnd"/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06.2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км/км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  <w:proofErr w:type="gramEnd"/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06.3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км/км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  <w:proofErr w:type="gramEnd"/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07.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Объем транспортного заказа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., 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07.1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Железнодорожный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9,91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8,93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9,24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9,13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9,29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07.2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Автомобильный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235,13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191,70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199,84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07.3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Внутренний водный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08.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Субсидии из бюджета субъекта Российской Федерации на компенсацию потерь в доходах (затраты), возникающих в результате государственного регулирования тарифов на перевозку пассажиров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245,11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144,64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115,16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166,77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168,45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165,45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08.1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152,02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82,35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101,14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166,77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165,45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165,45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08.2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93,09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62,29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14,02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08.3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09.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Субсидии из бюджета субъекта Российской Федерации на компенсацию потерь в доходах (затраты), возникающих в результате установления льгот на перевозку пассажиров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248,13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201,26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90,43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107,87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111,03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119,01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107,40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09.1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17,69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17,64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11,23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10,01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11,36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11,61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09.2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230,44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183,62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79,20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97,86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99,68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107,40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107,40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09.3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Отношение темпов роста тарифов на перевозку пассажиров в пригородном сообщении к среднему темпу роста номинальных доходов населения,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., 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Процент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139,00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106,00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96,00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92,00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Процент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139,00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106,00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96,00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92,00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Процент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Уровень автомобилизации населения субъекта Российской Федерации, Единиц на 1000 человек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367,00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369,00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374,00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374,00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374,00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374,00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374,00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12"/>
            <w:tcBorders>
              <w:top w:val="single" w:sz="5" w:space="0" w:color="000000"/>
            </w:tcBorders>
            <w:shd w:val="clear" w:color="auto" w:fill="auto"/>
          </w:tcPr>
          <w:p w:rsidR="00BD3C50" w:rsidRDefault="00E022C0">
            <w:pPr>
              <w:pStyle w:val="p"/>
              <w:spacing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Инерционный сценарий развития транспортного обслуживания предусматривает снижение количества отправленных пассажиров, снижение коэффициента подвижности населения и, как следствие, рост убытков от осуществления пригородных пассажирских перевозок.  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12"/>
            <w:shd w:val="clear" w:color="auto" w:fill="auto"/>
          </w:tcPr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2.4. Ключевые проблемы и потенциальные направления совершенствования транспортного обслуживания населения в части пригородных пассажирских перевозок</w:t>
            </w:r>
          </w:p>
        </w:tc>
      </w:tr>
    </w:tbl>
    <w:p w:rsidR="00BD3C50" w:rsidRDefault="00E022C0">
      <w:r>
        <w:br w:type="page"/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7"/>
      </w:tblGrid>
      <w:tr w:rsidR="00BD3C50">
        <w:tc>
          <w:tcPr>
            <w:tcW w:w="10717" w:type="dxa"/>
            <w:shd w:val="clear" w:color="auto" w:fill="auto"/>
          </w:tcPr>
          <w:p w:rsidR="00BD3C50" w:rsidRDefault="00E022C0">
            <w:pPr>
              <w:pStyle w:val="1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lastRenderedPageBreak/>
              <w:t>3. Целевая модель транспортного обслуживания населения</w:t>
            </w:r>
          </w:p>
        </w:tc>
      </w:tr>
      <w:tr w:rsidR="00BD3C50">
        <w:tc>
          <w:tcPr>
            <w:tcW w:w="10717" w:type="dxa"/>
            <w:shd w:val="clear" w:color="auto" w:fill="auto"/>
          </w:tcPr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3.1. Ключевые приоритеты и целевые параметры транспортного обслуживания населения в части пригородных пассажирских перевозок</w:t>
            </w:r>
          </w:p>
        </w:tc>
      </w:tr>
      <w:tr w:rsidR="00BD3C50">
        <w:tc>
          <w:tcPr>
            <w:tcW w:w="10717" w:type="dxa"/>
            <w:shd w:val="clear" w:color="auto" w:fill="auto"/>
          </w:tcPr>
          <w:p w:rsidR="00BD3C50" w:rsidRDefault="00E022C0">
            <w:pPr>
              <w:pStyle w:val="p"/>
              <w:spacing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i/>
                <w:iCs/>
                <w:noProof/>
                <w:sz w:val="24"/>
              </w:rPr>
              <w:t>Ключевыми приоритетами транспортного развития являются:</w:t>
            </w:r>
          </w:p>
          <w:p w:rsidR="00BD3C50" w:rsidRDefault="00E022C0">
            <w:pPr>
              <w:pStyle w:val="li"/>
              <w:numPr>
                <w:ilvl w:val="0"/>
                <w:numId w:val="7"/>
              </w:numPr>
              <w:spacing w:before="240"/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сохранение уровня транспортной обеспеченности населения на уровне не ниже существующего;</w:t>
            </w:r>
          </w:p>
          <w:p w:rsidR="00BD3C50" w:rsidRDefault="00E022C0">
            <w:pPr>
              <w:pStyle w:val="li"/>
              <w:numPr>
                <w:ilvl w:val="0"/>
                <w:numId w:val="7"/>
              </w:numPr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минимизация расходов бюджета на организацию пригородных пассажирских перевозок;</w:t>
            </w:r>
          </w:p>
          <w:p w:rsidR="00BD3C50" w:rsidRDefault="00E022C0">
            <w:pPr>
              <w:pStyle w:val="li"/>
              <w:numPr>
                <w:ilvl w:val="0"/>
                <w:numId w:val="7"/>
              </w:numPr>
              <w:spacing w:after="240"/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обновление подвижного состава.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Сформированная система приоритетов определяет целевые значения параметров в ССП ТО.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i/>
                <w:iCs/>
                <w:noProof/>
                <w:sz w:val="24"/>
              </w:rPr>
              <w:t>Целевые значения параметров определены:</w:t>
            </w:r>
          </w:p>
          <w:p w:rsidR="00BD3C50" w:rsidRDefault="00E022C0">
            <w:pPr>
              <w:pStyle w:val="li"/>
              <w:numPr>
                <w:ilvl w:val="0"/>
                <w:numId w:val="8"/>
              </w:numPr>
              <w:spacing w:before="240"/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для параметров 1 – на уровне существующих значений;</w:t>
            </w:r>
          </w:p>
          <w:p w:rsidR="00BD3C50" w:rsidRDefault="00E022C0">
            <w:pPr>
              <w:pStyle w:val="li"/>
              <w:numPr>
                <w:ilvl w:val="0"/>
                <w:numId w:val="8"/>
              </w:numPr>
              <w:spacing w:after="240"/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для параметров 2 – на уровне, соответствующем оптимизированному варианту организации транспортного обслуживания.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Целевые параметры ТО</w:t>
            </w:r>
          </w:p>
        </w:tc>
      </w:tr>
    </w:tbl>
    <w:p w:rsidR="00BD3C50" w:rsidRDefault="00BD3C50"/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5860"/>
        <w:gridCol w:w="1920"/>
        <w:gridCol w:w="2034"/>
      </w:tblGrid>
      <w:tr w:rsidR="00BD3C50">
        <w:trPr>
          <w:tblHeader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№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Наименование параметра, ед. изм.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Целевое значение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Примечание</w:t>
            </w: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01.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Объем отправленных пассажиров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., Тыс. пассажиров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11 578,37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Целевое значение 2: 11578,37</w:t>
            </w: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01.1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Тыс. пассажиров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3 000,96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Целевое значение 2: 3000,96</w:t>
            </w: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01.2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Тыс. пассажиров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8 577,41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Целевое значение 2: 8577,41</w:t>
            </w: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01.3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Тыс. пассажиров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02.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Пассажирооборот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.,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316,40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Целевое значение 2: 316,4</w:t>
            </w: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02.1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Железнодорожный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170,00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Целевое значение 2: 170</w:t>
            </w: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02.2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Автомобильный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146,40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Целевое значение 2:146,4</w:t>
            </w: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02.3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Внутренний водный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03.1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Пасс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 1 чел.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3,01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Целевое значение 2: 3,01</w:t>
            </w: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03.2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Пасс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 1 чел.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6,36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Целевое значение 2: 6,36</w:t>
            </w: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03.3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Пасс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 1 чел.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04.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Доля жителей, имеющих доступ к регулярному транспортному обслуживанию населения в пригородном сообщении, Процент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05.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Число населённых пунктов, не имеющих доступ к регулярному транспортному обслуживанию населения в пригородном сообщении, Единица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06.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Плотность транспортной сети,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., км/км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  <w:proofErr w:type="gramEnd"/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06.1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км/км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  <w:proofErr w:type="gramEnd"/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06.2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км/км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  <w:proofErr w:type="gramEnd"/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06.3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км/км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  <w:proofErr w:type="gramEnd"/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07.1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Железнодорожный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9,13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07.2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Автомобильный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146,40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07.3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Внутренний водный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08.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Субсидии из бюджета субъекта Российской Федерации на компенсацию потерь в доходах (затраты), возникающих в результате государственного регулирования тарифов на перевозку пассажиров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., Миллион рублей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168,45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08.1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Миллион рублей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165,45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08.2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Миллион рублей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08.3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Миллион рублей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09.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Субсидии из бюджета субъекта Российской Федерации на компенсацию потерь в доходах (затраты), возникающих в результате установления льгот на перевозку пассажиров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., Миллион рублей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111,03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09.1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Миллион рублей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11,36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09.2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Миллион рублей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99,67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09.3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Миллион рублей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10.1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Процент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10.2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Процент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10.3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Процент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11.</w:t>
            </w:r>
          </w:p>
        </w:tc>
        <w:tc>
          <w:tcPr>
            <w:tcW w:w="5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Уровень автомобилизации населения субъекта Российской Федерации, Единиц на 1000 человек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384,00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4"/>
            <w:shd w:val="clear" w:color="auto" w:fill="auto"/>
          </w:tcPr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lastRenderedPageBreak/>
              <w:t>3.2. Направления оптимизации схемы транспортного обслуживания по сообщениям ВРТБ</w:t>
            </w:r>
          </w:p>
        </w:tc>
      </w:tr>
      <w:tr w:rsidR="00BD3C50">
        <w:tc>
          <w:tcPr>
            <w:tcW w:w="10717" w:type="dxa"/>
            <w:gridSpan w:val="4"/>
            <w:shd w:val="clear" w:color="auto" w:fill="auto"/>
          </w:tcPr>
          <w:p w:rsidR="00BD3C50" w:rsidRDefault="00E022C0">
            <w:pPr>
              <w:pStyle w:val="p"/>
              <w:spacing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i/>
                <w:iCs/>
                <w:noProof/>
                <w:sz w:val="24"/>
              </w:rPr>
              <w:t>Ключевыми направлениями оптимизации схемы транспортного обслуживания в части железнодорожного транспорта являются:</w:t>
            </w:r>
          </w:p>
          <w:p w:rsidR="00BD3C50" w:rsidRDefault="00E022C0">
            <w:pPr>
              <w:pStyle w:val="li"/>
              <w:numPr>
                <w:ilvl w:val="0"/>
                <w:numId w:val="6"/>
              </w:numPr>
              <w:spacing w:before="240"/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отмена пригородных поездов по некоторым направлениям с заменой на альтернативные виды транспорта;</w:t>
            </w:r>
          </w:p>
          <w:p w:rsidR="00BD3C50" w:rsidRDefault="00E022C0">
            <w:pPr>
              <w:pStyle w:val="li"/>
              <w:numPr>
                <w:ilvl w:val="0"/>
                <w:numId w:val="6"/>
              </w:numPr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создание мультимодальных транспортных узлов электричка – общественный транспорт;</w:t>
            </w:r>
          </w:p>
          <w:p w:rsidR="00BD3C50" w:rsidRDefault="00E022C0">
            <w:pPr>
              <w:pStyle w:val="li"/>
              <w:numPr>
                <w:ilvl w:val="0"/>
                <w:numId w:val="6"/>
              </w:numPr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открытие перспективных маршрутов с высоким пассажиропотоком; </w:t>
            </w:r>
          </w:p>
          <w:p w:rsidR="00BD3C50" w:rsidRDefault="00E022C0">
            <w:pPr>
              <w:pStyle w:val="li"/>
              <w:numPr>
                <w:ilvl w:val="0"/>
                <w:numId w:val="6"/>
              </w:numPr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обновление парка подвижного состава.</w:t>
            </w:r>
          </w:p>
          <w:p w:rsidR="00BD3C50" w:rsidRDefault="00E022C0">
            <w:pPr>
              <w:pStyle w:val="li"/>
              <w:numPr>
                <w:ilvl w:val="0"/>
                <w:numId w:val="6"/>
              </w:numPr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В части автомобильного транспорта:</w:t>
            </w:r>
          </w:p>
          <w:p w:rsidR="00BD3C50" w:rsidRDefault="00E022C0">
            <w:pPr>
              <w:pStyle w:val="li"/>
              <w:numPr>
                <w:ilvl w:val="0"/>
                <w:numId w:val="6"/>
              </w:numPr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организация автобусных маршрутов на отмененных железнодорожных маршрутах;</w:t>
            </w:r>
          </w:p>
          <w:p w:rsidR="00BD3C50" w:rsidRDefault="00E022C0">
            <w:pPr>
              <w:pStyle w:val="li"/>
              <w:numPr>
                <w:ilvl w:val="0"/>
                <w:numId w:val="6"/>
              </w:numPr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оптимизация маршрутной сети;</w:t>
            </w:r>
          </w:p>
          <w:p w:rsidR="00BD3C50" w:rsidRDefault="00E022C0">
            <w:pPr>
              <w:pStyle w:val="li"/>
              <w:numPr>
                <w:ilvl w:val="0"/>
                <w:numId w:val="6"/>
              </w:numPr>
              <w:spacing w:after="240"/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обновление подвижного состава.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Развитие схемы транспортного обслуживания по указанным направлениям обеспечит достижение целевых параметров обслуживания как по отдельным сообщениям в ВРТБ, так и по субъекту в целом.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4"/>
            <w:shd w:val="clear" w:color="auto" w:fill="auto"/>
          </w:tcPr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3.3. Перспективные значения параметров транспортного обслуживания для оптимизированной схемы транспортного обслуживания</w:t>
            </w:r>
          </w:p>
        </w:tc>
      </w:tr>
      <w:tr w:rsidR="00BD3C50">
        <w:tc>
          <w:tcPr>
            <w:tcW w:w="10717" w:type="dxa"/>
            <w:gridSpan w:val="4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ССП ТО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Оптимизированная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)</w:t>
            </w:r>
          </w:p>
        </w:tc>
      </w:tr>
    </w:tbl>
    <w:p w:rsidR="00BD3C50" w:rsidRDefault="00BD3C50"/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2822"/>
        <w:gridCol w:w="674"/>
        <w:gridCol w:w="688"/>
        <w:gridCol w:w="673"/>
        <w:gridCol w:w="673"/>
        <w:gridCol w:w="674"/>
        <w:gridCol w:w="688"/>
        <w:gridCol w:w="673"/>
        <w:gridCol w:w="673"/>
        <w:gridCol w:w="674"/>
        <w:gridCol w:w="1246"/>
      </w:tblGrid>
      <w:tr w:rsidR="00BD3C50">
        <w:trPr>
          <w:tblHeader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bottom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282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Наименование параметра,</w:t>
            </w:r>
          </w:p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ед. изм.</w:t>
            </w:r>
          </w:p>
        </w:tc>
        <w:tc>
          <w:tcPr>
            <w:tcW w:w="609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Значение показателя</w:t>
            </w:r>
          </w:p>
        </w:tc>
        <w:tc>
          <w:tcPr>
            <w:tcW w:w="1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Примечание</w:t>
            </w:r>
          </w:p>
        </w:tc>
      </w:tr>
      <w:tr w:rsidR="00BD3C50">
        <w:trPr>
          <w:tblHeader/>
        </w:trPr>
        <w:tc>
          <w:tcPr>
            <w:tcW w:w="55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/п</w:t>
            </w:r>
          </w:p>
        </w:tc>
        <w:tc>
          <w:tcPr>
            <w:tcW w:w="282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2014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2015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2018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2019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2025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2030</w:t>
            </w:r>
          </w:p>
        </w:tc>
        <w:tc>
          <w:tcPr>
            <w:tcW w:w="124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01.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Объем отправленных пассажиров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., Тыс. пассажиров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12 550,40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12 284,11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12 012,70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10 468,37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10 515,13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10 515,13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12 012,70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11 862,70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10 577,90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01.1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Тыс. пассажиров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3 996,40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3 730,11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3 862,70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3 021,21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3 067,97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3 067,97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3 862,70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3 862,70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3 862,70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01.2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Тыс. пассажиров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8 554,00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8 554,00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8 150,00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7 447,16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7 447,16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7 447,16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8 150,00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8 000,00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6 715,20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01.3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Тыс. пассажиров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02.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Пассажирооборот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.,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480,70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381,20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388,83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414,27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417,29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417,29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411,71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411,71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411,71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02.1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Железнодорожный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245,57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189,50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188,99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170,34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173,36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173,36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167,78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167,78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167,78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02.2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Автомобильный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235,13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191,70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199,84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02.3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Внутренний водный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03.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Коэффициент подвижности (мобильности) населения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., 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9,60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9,37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9,40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16,10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03.1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Пасс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 1 чел.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3,06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2,97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3,01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3,01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10,65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03.2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Пасс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 1 чел.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6,54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6,42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6,36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6,36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6,36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6,36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6,36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6,34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5,45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03.3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Пасс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 1 чел.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04.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Доля жителей, имеющих доступ к регулярному транспортному обслуживанию населения в пригородном сообщении, Процент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05.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Число населённых пунктов, не имеющих доступ к регулярному транспортному обслуживанию населения в пригородном сообщении, Единица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06.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Плотность транспортной сети,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., км/км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  <w:proofErr w:type="gramEnd"/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06.1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км/км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  <w:proofErr w:type="gramEnd"/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06.2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км/км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  <w:proofErr w:type="gramEnd"/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06.3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км/км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  <w:proofErr w:type="gramEnd"/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07.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Объем транспортного заказа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., 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07.1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Железнодорожный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9,91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8,93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9,24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9,13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9,29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07.2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Автомобильный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235,13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191,70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199,84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243,93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07.3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Внутренний водный транспорт, Миллион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-километров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08.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Субсидии из бюджета субъекта Российской Федерации на компенсацию потерь в доходах (затраты), возникающих в результате государственного регулирования тарифов на перевозку пассажиров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245,11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144,64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115,16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166,77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168,45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165,45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08.1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152,02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82,35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101,14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166,77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165,45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165,45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08.2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93,09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62,29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14,02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08.3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09.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Субсидии из бюджета субъекта Российской Федерации на компенсацию потерь в доходах (затраты), возникающих в результате установления льгот на перевозку пассажиров в пригородном сообщении,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248,13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201,26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90,43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107,87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111,03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119,01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107,40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09.1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17,69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17,64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11,23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10,01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11,36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11,61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09.2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230,44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183,62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79,20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97,86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99,67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107,40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107,40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09.3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Миллион рублей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Отношение темпов роста тарифов на перевозку пассажиров в пригородном сообщении к среднему темпу роста номинальных доходов населения,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., 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10.1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 транспорт, Процент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139,00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106,00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96,00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92,00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10.2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 транспорт, Процент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139,00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106,00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96,00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92,00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10.3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Внутренний водный транспорт, Процент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11.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Уровень автомобилизации населения субъекта Российской Федерации, Единиц на 1000 человек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367,00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369,00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374,00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374,00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374,00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374,00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374,00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380,00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12"/>
            <w:tcBorders>
              <w:top w:val="single" w:sz="5" w:space="0" w:color="000000"/>
            </w:tcBorders>
            <w:shd w:val="clear" w:color="auto" w:fill="auto"/>
          </w:tcPr>
          <w:p w:rsidR="00BD3C50" w:rsidRDefault="00E022C0">
            <w:pPr>
              <w:pStyle w:val="p"/>
              <w:spacing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Оптимизированный вариант развития железнодорожного транспорта в пригородном сообщении предусматривает открытие к 2030 году новых направлений в результате чего значительно возрастет пассажиропоток.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Более подробная информация о развитии железнодорожного транспорта в пригородном сообщении представлена в разделе 5 КПТО.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12"/>
            <w:shd w:val="clear" w:color="auto" w:fill="auto"/>
          </w:tcPr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3.4. Основные параметры ВРТБ на средне- и долгосрочную перспективу</w:t>
            </w:r>
          </w:p>
        </w:tc>
      </w:tr>
      <w:tr w:rsidR="00BD3C50">
        <w:tc>
          <w:tcPr>
            <w:tcW w:w="10717" w:type="dxa"/>
            <w:gridSpan w:val="12"/>
            <w:shd w:val="clear" w:color="auto" w:fill="auto"/>
          </w:tcPr>
          <w:p w:rsidR="00BD3C50" w:rsidRDefault="00E022C0">
            <w:pPr>
              <w:pStyle w:val="p"/>
              <w:spacing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Необходимый уровень транспортного обслуживания обеспечивается по всем сообщениям. 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12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ВРТБ на средне- и долгосрочную перспективу</w:t>
            </w:r>
          </w:p>
        </w:tc>
      </w:tr>
    </w:tbl>
    <w:p w:rsidR="00BD3C50" w:rsidRDefault="00BD3C50"/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444"/>
        <w:gridCol w:w="1361"/>
        <w:gridCol w:w="788"/>
        <w:gridCol w:w="903"/>
        <w:gridCol w:w="788"/>
        <w:gridCol w:w="1017"/>
        <w:gridCol w:w="1017"/>
        <w:gridCol w:w="788"/>
        <w:gridCol w:w="903"/>
        <w:gridCol w:w="559"/>
        <w:gridCol w:w="1246"/>
      </w:tblGrid>
      <w:tr w:rsidR="00BD3C50">
        <w:trPr>
          <w:tblHeader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  <w:t>Вид транспорта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Сообщение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Протяженность,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км</w:t>
            </w:r>
            <w:proofErr w:type="gramEnd"/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Пассажиропоток Всего, тыс. пасс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од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Пассажиропоток Пиковый*, пасс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ас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Маршруты по видам транспорта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Регулярность обслуживания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Количество оборотных рейсов, в сутки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Интервал между отправлениями в часы "пик"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  <w:t>Интервал между отправлениями в непиковые часы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Примечание</w:t>
            </w: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Пижма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221,90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Ежиха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665,80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1 775,40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Подосиновец − Пинюг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 − Христофорово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108,00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42,00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 − Луза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Луза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270,10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985,50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450,00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Зуевка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1 775,40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Яр − Глазов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992,80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Казань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108,50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Матанцы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Поздино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1 553,40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 − Ижевск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Слободской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1 452,30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Кирово-Чепецк − 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636,70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Слободское</w:t>
            </w:r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1 553,40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Исуповская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Кирово-Чепецк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2 663,00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Бобино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Сапожнята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Шинник-6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 - Сосновка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77,00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ежедневно, летний период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Мурыгино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438,60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Адышево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Бурмакино −  Вятские Увалы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73,20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Речное</w:t>
            </w:r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Нижнеивкино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290,00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Загарье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9,90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Пасегово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Марковщина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513,10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 − садоводческое товарищество «Содружество»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 − садоводческое товарищество «Чистые Ключи»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Боровица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Баташи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110,60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Вятские Поляны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72,80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Яранск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Слободской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Белая Холуница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Кумены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168,00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Стрижи −  Торфяной – Быстрица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225,00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Медяны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91,70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42,00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Цепели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Советск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Коршик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55,70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садоводческое товарищество «Энергетик» 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Кикнур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Яранск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Яранск – Пижанка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Юрья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310,60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Орлов –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Пасегово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Глушонки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Кирово-Чепецк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Фатеево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Вятские Поляны −  Большой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Китяк</w:t>
            </w:r>
            <w:proofErr w:type="spellEnd"/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Санчурск – Яранск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Гирсово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Зенгино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дом отдыха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Кстининский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45,30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Левинцы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120,30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Стрижи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Трапицыны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Ложкари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64,30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Шутовщина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306,50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(Нововятск) − садоводческое товарищество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Сунчиха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» 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(ул. Андрея Упита)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Исуповская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132,80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Митино</w:t>
            </w:r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садоводческое товарищество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Сунчиха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Оричи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Богородское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Истобенск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Санчурск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60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Среднеивкино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Верхошижемье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99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Орлов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Верхошижемье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1,90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Уржум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Нолинск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52,60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Советск –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6,90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Верхобыстрица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             сельское хозяйство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Березниковский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»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Суна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Белая Холуница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93,70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Советск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55,30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 Котельнич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Ленинское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Коробовщина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Яранск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Советск – Пижанка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Даровской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Кикнур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4,90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Вятские Поляны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Фаленки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Уни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5,60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75,80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Кильмезь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Великорецкое</w:t>
            </w:r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Калачиги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Рудничный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 Нолинск – Татаурово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2,30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Яранск –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Восточный −  Омутнинск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253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Арбаж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Даровской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Котельнич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46,10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Кильмезь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Малмыж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Песковка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Нема</w:t>
            </w:r>
            <w:proofErr w:type="gram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Нагорск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10,20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Уржум – Нолинск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0,80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Уржум −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Лебяжье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Советск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3,40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Белая Холуница −  Омутнинск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276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– Омутнинск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178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109,90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–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22,50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- Русский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Турек</w:t>
            </w:r>
            <w:proofErr w:type="spellEnd"/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2,70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Автомобильный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Маромица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Опарино − Киров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Ежедневно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12"/>
            <w:tcBorders>
              <w:top w:val="single" w:sz="5" w:space="0" w:color="000000"/>
            </w:tcBorders>
            <w:shd w:val="clear" w:color="auto" w:fill="auto"/>
          </w:tcPr>
          <w:p w:rsidR="00BD3C50" w:rsidRDefault="00E022C0">
            <w:pPr>
              <w:pStyle w:val="p"/>
              <w:spacing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Оптимизированный вариант развития железнодорожного транспорта в пригородном сообщении предусматривает открытие к 2030 году новых направлений в результате чего значительно возрастет пассажиропоток.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Более подробная информация о развитии железнодорожного транспорта в пригородном сообщении представлена в разделе 5 КПТО.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</w:tbl>
    <w:p w:rsidR="00BD3C50" w:rsidRDefault="00E022C0">
      <w:r>
        <w:br w:type="page"/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7"/>
      </w:tblGrid>
      <w:tr w:rsidR="00BD3C50">
        <w:tc>
          <w:tcPr>
            <w:tcW w:w="10717" w:type="dxa"/>
            <w:shd w:val="clear" w:color="auto" w:fill="auto"/>
          </w:tcPr>
          <w:p w:rsidR="00BD3C50" w:rsidRDefault="00E022C0">
            <w:pPr>
              <w:pStyle w:val="1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lastRenderedPageBreak/>
              <w:t>4. Дорожная карта реализации КПТО средне- и долгосрочную перспективу</w:t>
            </w:r>
          </w:p>
        </w:tc>
      </w:tr>
      <w:tr w:rsidR="00BD3C50">
        <w:tc>
          <w:tcPr>
            <w:tcW w:w="10717" w:type="dxa"/>
            <w:shd w:val="clear" w:color="auto" w:fill="auto"/>
          </w:tcPr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4.1. Календарный план-график мероприятий по реализации КПТО</w:t>
            </w:r>
          </w:p>
        </w:tc>
      </w:tr>
      <w:tr w:rsidR="00BD3C50">
        <w:tc>
          <w:tcPr>
            <w:tcW w:w="10717" w:type="dxa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План-график мероприятий</w:t>
            </w:r>
          </w:p>
        </w:tc>
      </w:tr>
    </w:tbl>
    <w:p w:rsidR="00BD3C50" w:rsidRDefault="00BD3C50"/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2034"/>
        <w:gridCol w:w="788"/>
        <w:gridCol w:w="1247"/>
        <w:gridCol w:w="1232"/>
        <w:gridCol w:w="1247"/>
        <w:gridCol w:w="1920"/>
        <w:gridCol w:w="1690"/>
      </w:tblGrid>
      <w:tr w:rsidR="00BD3C50">
        <w:trPr>
          <w:tblHeader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bottom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20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Наименование мероприятия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Сроки реализации</w:t>
            </w:r>
          </w:p>
        </w:tc>
        <w:tc>
          <w:tcPr>
            <w:tcW w:w="37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Стоимость</w:t>
            </w:r>
          </w:p>
        </w:tc>
        <w:tc>
          <w:tcPr>
            <w:tcW w:w="192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Результат мероприятия</w:t>
            </w:r>
          </w:p>
        </w:tc>
        <w:tc>
          <w:tcPr>
            <w:tcW w:w="16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Примечание</w:t>
            </w:r>
          </w:p>
        </w:tc>
      </w:tr>
      <w:tr w:rsidR="00BD3C50">
        <w:trPr>
          <w:tblHeader/>
        </w:trPr>
        <w:tc>
          <w:tcPr>
            <w:tcW w:w="55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/п</w:t>
            </w:r>
          </w:p>
        </w:tc>
        <w:tc>
          <w:tcPr>
            <w:tcW w:w="203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7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Стоимость, млн. руб. всего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  <w:t>Стоимость, млн. руб. за счёт средств бюджета субъекта РФ</w:t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4"/>
              </w:rPr>
              <w:t>Стоимость, млн. руб. за счёт средств федерального бюджета</w:t>
            </w:r>
          </w:p>
        </w:tc>
        <w:tc>
          <w:tcPr>
            <w:tcW w:w="19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Финансовое обеспечение регулируемых перевозок железнодорожным транспортом в пригородном сообщении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2016 – 2030 годы</w:t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3 657,80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3 657,80</w:t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обеспечение транспортного обслуживания населения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обеспечение транспортного обслуживания населения Проработка вопроса по заключению долгосрочного контракта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2016 – 2030 годы</w:t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обеспечение стабильного транспортного обслуживания населения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20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Определение параметров транспортного обслуживания,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. графиков движения железнодорожного и автомобильного транспорта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ежегодно</w:t>
            </w:r>
          </w:p>
        </w:tc>
        <w:tc>
          <w:tcPr>
            <w:tcW w:w="124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3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92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улучшение качества транспортного обслуживания населения, возможность четкого регулирования и контроля параметров транспортного обслуживания населения</w:t>
            </w:r>
          </w:p>
        </w:tc>
        <w:tc>
          <w:tcPr>
            <w:tcW w:w="16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20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Организация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регулярного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курсирования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пригородных поездов по маршруту Киров − Слободское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2026-2030 годы</w:t>
            </w:r>
          </w:p>
        </w:tc>
        <w:tc>
          <w:tcPr>
            <w:tcW w:w="124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3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92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рост пассажиропотока по пригородным пассажирским перевозкам железнодорожным транспортом</w:t>
            </w:r>
          </w:p>
        </w:tc>
        <w:tc>
          <w:tcPr>
            <w:tcW w:w="16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стоимость проекта будет известна после разработки технико-экономического обоснования. Источники финансирования: областной бюджет, средства открытого акционерного общества «Российские железные дороги» (по согласованию), федеральный бюджет</w:t>
            </w:r>
          </w:p>
        </w:tc>
      </w:tr>
      <w:tr w:rsidR="00BD3C50">
        <w:trPr>
          <w:trHeight w:val="178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20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Организация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регулярного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курсирования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пригородных поездов по маршруту Киров − Кирово-Чепецк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2026-2030 годы</w:t>
            </w:r>
          </w:p>
        </w:tc>
        <w:tc>
          <w:tcPr>
            <w:tcW w:w="124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3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92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рост пассажиропотока по пригородным пассажирским перевозкам железнодорожным транспортом</w:t>
            </w:r>
          </w:p>
        </w:tc>
        <w:tc>
          <w:tcPr>
            <w:tcW w:w="16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стоимость проекта будет известна после разработки технико-экономического обоснования. Источники финансирования: областной бюджет, средства открытого акционерного общества «Российские железные дороги» (по согласованию), федеральный бюджет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ab/>
            </w:r>
          </w:p>
        </w:tc>
      </w:tr>
      <w:tr w:rsidR="00BD3C50">
        <w:trPr>
          <w:trHeight w:val="178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20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Переориентирование маршрутной сети городского транспорта и создание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мультимодальных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транспортных узлов электричка – общественный транспорт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2026-2030 годы</w:t>
            </w:r>
          </w:p>
        </w:tc>
        <w:tc>
          <w:tcPr>
            <w:tcW w:w="124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3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92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осуществление подвоза пассажиров всеми видами общественного городского транспорта к основным внутригородским железнодорожным платформам и дальнейшее перемещение пассажиров пригородными поездами по городу</w:t>
            </w:r>
          </w:p>
        </w:tc>
        <w:tc>
          <w:tcPr>
            <w:tcW w:w="16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стоимость проекта будет известна после разработки технико-экономического обоснования. Источники финансирования: областной бюджет, средства открытого акционерного общества «Российские железные дороги» (по согласованию), федеральный бюджет</w:t>
            </w: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Закупка подвижного состава (путем лизинга)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начиная с 2016 года</w:t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обновление подвижного состава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предлагается осуществлять обновление подвижного состава путем приобретения его в лизинг: в 2022 (1 электропоезда в 4-х вагонном исполнении) на сумму 475,5 млн.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рублей; в 2026 году (3 электропоезда в 4-х вагонном исполнении) на сумму 1 426,7 млн. рублей; в 2028 году (3 электропоезда в 4-х вагонном исполнении) на сумму 979,9 млн. рублей;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в 2029 году (2 электропоезда в 4-х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вагонно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исполнении) на сумму 508,96 млн. рублей; в 2030 году (1 электропоезд в 4-х вагонном исполнении) на сумму 507,85 млн. рублей. Источники финансирования в настоящее время не определены.</w:t>
            </w:r>
          </w:p>
        </w:tc>
      </w:tr>
      <w:tr w:rsidR="00BD3C50"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8</w:t>
            </w:r>
          </w:p>
        </w:tc>
        <w:tc>
          <w:tcPr>
            <w:tcW w:w="2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Актуализация КПТО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при необходимости</w:t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8"/>
            <w:shd w:val="clear" w:color="auto" w:fill="auto"/>
          </w:tcPr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4.2 Эффекты от реализации комплексного плана транспортного обслуживания</w:t>
            </w:r>
          </w:p>
        </w:tc>
      </w:tr>
      <w:tr w:rsidR="00BD3C50">
        <w:tc>
          <w:tcPr>
            <w:tcW w:w="10717" w:type="dxa"/>
            <w:gridSpan w:val="8"/>
            <w:shd w:val="clear" w:color="auto" w:fill="auto"/>
          </w:tcPr>
          <w:p w:rsidR="00BD3C50" w:rsidRDefault="00E022C0">
            <w:pPr>
              <w:pStyle w:val="p"/>
              <w:spacing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Реализация КПТО окажет позитивное воздействие на развитие социально-экономической системы Кировской области, улучшит уровень транспортного обеспечения населения и минимизирует расходы областного бюджета на организацию пригородных пассажирских перевозок.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8"/>
            <w:shd w:val="clear" w:color="auto" w:fill="auto"/>
          </w:tcPr>
          <w:p w:rsidR="00BD3C50" w:rsidRDefault="00E022C0">
            <w:pPr>
              <w:pStyle w:val="2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4.3 Риски от реализации комплексного плана транспортного обслуживания</w:t>
            </w:r>
          </w:p>
        </w:tc>
      </w:tr>
      <w:tr w:rsidR="00BD3C50">
        <w:tc>
          <w:tcPr>
            <w:tcW w:w="10717" w:type="dxa"/>
            <w:gridSpan w:val="8"/>
            <w:shd w:val="clear" w:color="auto" w:fill="auto"/>
          </w:tcPr>
          <w:p w:rsidR="00BD3C50" w:rsidRDefault="00E022C0">
            <w:pPr>
              <w:pStyle w:val="p"/>
              <w:spacing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На реализацию КПТО могут оказать существенное влияние следующие риски: </w:t>
            </w:r>
          </w:p>
          <w:p w:rsidR="00BD3C50" w:rsidRDefault="00E022C0">
            <w:pPr>
              <w:pStyle w:val="li"/>
              <w:numPr>
                <w:ilvl w:val="0"/>
                <w:numId w:val="5"/>
              </w:numPr>
              <w:spacing w:before="240"/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инфляционные изменения цен на энергоресурсы;</w:t>
            </w:r>
          </w:p>
          <w:p w:rsidR="00BD3C50" w:rsidRDefault="00E022C0">
            <w:pPr>
              <w:pStyle w:val="li"/>
              <w:numPr>
                <w:ilvl w:val="0"/>
                <w:numId w:val="5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нерегулируемый рост цен на услуги, предоставляемые открытым акционерным обществом «Российские железные дороги»;</w:t>
            </w:r>
          </w:p>
          <w:p w:rsidR="00BD3C50" w:rsidRDefault="00E022C0">
            <w:pPr>
              <w:pStyle w:val="li"/>
              <w:numPr>
                <w:ilvl w:val="0"/>
                <w:numId w:val="5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снижение уровня доходов населения;</w:t>
            </w:r>
          </w:p>
          <w:p w:rsidR="00BD3C50" w:rsidRDefault="00E022C0">
            <w:pPr>
              <w:pStyle w:val="li"/>
              <w:numPr>
                <w:ilvl w:val="0"/>
                <w:numId w:val="5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изменение законодательства в области организации регулярных перевозок  пригородного сообщения;</w:t>
            </w:r>
          </w:p>
          <w:p w:rsidR="00BD3C50" w:rsidRDefault="00E022C0">
            <w:pPr>
              <w:pStyle w:val="li"/>
              <w:numPr>
                <w:ilvl w:val="0"/>
                <w:numId w:val="5"/>
              </w:numPr>
              <w:spacing w:after="240"/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новые требования к подвижному составу в результате изменения законодательства.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</w:tbl>
    <w:p w:rsidR="00BD3C50" w:rsidRDefault="00E022C0">
      <w:r>
        <w:br w:type="page"/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7"/>
      </w:tblGrid>
      <w:tr w:rsidR="00BD3C50">
        <w:tc>
          <w:tcPr>
            <w:tcW w:w="10717" w:type="dxa"/>
            <w:shd w:val="clear" w:color="auto" w:fill="auto"/>
          </w:tcPr>
          <w:p w:rsidR="00BD3C50" w:rsidRDefault="00E022C0">
            <w:pPr>
              <w:pStyle w:val="1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lastRenderedPageBreak/>
              <w:t>5. Требования к параметрам регионального плана (заказа) осуществления пригородных пассажирских перевозок</w:t>
            </w:r>
          </w:p>
        </w:tc>
      </w:tr>
      <w:tr w:rsidR="00BD3C50">
        <w:tc>
          <w:tcPr>
            <w:tcW w:w="10717" w:type="dxa"/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Обоснование выбора вида транспорта</w:t>
            </w:r>
          </w:p>
        </w:tc>
      </w:tr>
      <w:tr w:rsidR="00BD3C50">
        <w:tc>
          <w:tcPr>
            <w:tcW w:w="10717" w:type="dxa"/>
            <w:shd w:val="clear" w:color="auto" w:fill="auto"/>
          </w:tcPr>
          <w:p w:rsidR="00BD3C50" w:rsidRDefault="00E022C0">
            <w:pPr>
              <w:pStyle w:val="p"/>
              <w:spacing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На основе прогноза пассажиропотока с учетом объективных инфраструктурных ограничений сформирован региональный заказ и определены требования к параметрам осуществления пригородных пассажирских перевозок. 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Данные требования с учетом реализации всех необходимых мероприятий обеспечат безубыточность функционирования компании-перевозчика.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Обоснование выбора вида транспорта</w:t>
            </w:r>
          </w:p>
        </w:tc>
      </w:tr>
    </w:tbl>
    <w:p w:rsidR="00BD3C50" w:rsidRDefault="00BD3C50"/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1591"/>
        <w:gridCol w:w="673"/>
        <w:gridCol w:w="1017"/>
        <w:gridCol w:w="674"/>
        <w:gridCol w:w="788"/>
        <w:gridCol w:w="788"/>
        <w:gridCol w:w="902"/>
        <w:gridCol w:w="1362"/>
        <w:gridCol w:w="902"/>
        <w:gridCol w:w="1576"/>
      </w:tblGrid>
      <w:tr w:rsidR="00BD3C50">
        <w:trPr>
          <w:tblHeader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bottom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Сообщение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Протяженность,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км</w:t>
            </w:r>
            <w:proofErr w:type="gramEnd"/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Вид транспорта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Наличие вида транспорта на сообщении</w:t>
            </w:r>
          </w:p>
        </w:tc>
        <w:tc>
          <w:tcPr>
            <w:tcW w:w="15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Тариф, руб. за 10 км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Пассажиропоток на сообщении в 2018 году, тыс. пасс.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Факторы выбора вида транспорта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Пассажиропоток на сообщении в 2019 году, тыс. пасс.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Примечание</w:t>
            </w:r>
          </w:p>
        </w:tc>
      </w:tr>
      <w:tr w:rsidR="00BD3C50">
        <w:trPr>
          <w:tblHeader/>
        </w:trPr>
        <w:tc>
          <w:tcPr>
            <w:tcW w:w="44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/п</w:t>
            </w:r>
          </w:p>
        </w:tc>
        <w:tc>
          <w:tcPr>
            <w:tcW w:w="15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67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0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67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Экономически обоснованный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Тариф для населения</w:t>
            </w:r>
          </w:p>
        </w:tc>
        <w:tc>
          <w:tcPr>
            <w:tcW w:w="90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3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90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57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Пижма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153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407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340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Ежиха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136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322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290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Котельнич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543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473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Лянгасово</w:t>
            </w:r>
            <w:proofErr w:type="spellEnd"/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225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213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Шабалино</w:t>
            </w:r>
            <w:proofErr w:type="spellEnd"/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162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338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, комфортность, строгое соблюдение расписания, независимость от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303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6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Подосиновец − Пинюг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56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25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 − Христофорово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44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58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54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 − Луза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Луза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269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174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118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414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667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Зуевка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105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19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151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Яр − Глазов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148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720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, комфортность,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655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13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Яр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Светлополянск</w:t>
            </w:r>
            <w:proofErr w:type="spellEnd"/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117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165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43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Казань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109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109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rPr>
          <w:trHeight w:val="178"/>
        </w:trPr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</w:t>
            </w:r>
          </w:p>
        </w:tc>
        <w:tc>
          <w:tcPr>
            <w:tcW w:w="15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 − Ижевск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28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13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</w:t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 - Сосновка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Обеспечение высокой скорости и регулярности пассажирского сообщения,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, комфортность, строгое соблюдение расписания, независимость от погодных условий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77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11"/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Требования к параметрам регионального заказа</w:t>
            </w:r>
          </w:p>
        </w:tc>
      </w:tr>
      <w:tr w:rsidR="00BD3C50">
        <w:tc>
          <w:tcPr>
            <w:tcW w:w="10717" w:type="dxa"/>
            <w:gridSpan w:val="11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Требования к параметрам регионального заказа на 2019 год</w:t>
            </w:r>
          </w:p>
        </w:tc>
      </w:tr>
    </w:tbl>
    <w:p w:rsidR="00BD3C50" w:rsidRDefault="00BD3C50"/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803"/>
        <w:gridCol w:w="1346"/>
        <w:gridCol w:w="903"/>
        <w:gridCol w:w="903"/>
        <w:gridCol w:w="902"/>
        <w:gridCol w:w="903"/>
        <w:gridCol w:w="903"/>
        <w:gridCol w:w="902"/>
        <w:gridCol w:w="903"/>
        <w:gridCol w:w="788"/>
        <w:gridCol w:w="1017"/>
      </w:tblGrid>
      <w:tr w:rsidR="00BD3C50">
        <w:trPr>
          <w:tblHeader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bottom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80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Вид транспорта</w:t>
            </w:r>
          </w:p>
        </w:tc>
        <w:tc>
          <w:tcPr>
            <w:tcW w:w="13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Сообщение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Объём заказа</w:t>
            </w:r>
          </w:p>
        </w:tc>
        <w:tc>
          <w:tcPr>
            <w:tcW w:w="18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Уровень тарифа за зону</w:t>
            </w:r>
          </w:p>
        </w:tc>
        <w:tc>
          <w:tcPr>
            <w:tcW w:w="2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Расчет стоимости регионального заказа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Общая стоимость регионального транспортного заказа, млн. руб.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ние</w:t>
            </w:r>
            <w:proofErr w:type="spellEnd"/>
          </w:p>
        </w:tc>
      </w:tr>
      <w:tr w:rsidR="00BD3C50">
        <w:trPr>
          <w:tblHeader/>
        </w:trPr>
        <w:tc>
          <w:tcPr>
            <w:tcW w:w="44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/п</w:t>
            </w:r>
          </w:p>
        </w:tc>
        <w:tc>
          <w:tcPr>
            <w:tcW w:w="8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34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место-км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размеры движения, пар поездов или рейсов в сутки (туда-обратно)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Экономически обоснованный, руб./10 км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Установленный в рамках регионального заказа для населения, руб./10 км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Средний экономически обоснованный уровень тарифа**, руб./10 пасс-км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 установленный в рамках регионального заказа для населения**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Пасс-км</w:t>
            </w:r>
          </w:p>
        </w:tc>
        <w:tc>
          <w:tcPr>
            <w:tcW w:w="7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0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Пижма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11,77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Ежиха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35,32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Котельнич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53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77,11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Подосиновец − Пинюг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1,85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 − Христофорово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3,19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Пинюг − Луза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2,06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7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Луза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12,98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49,87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Зуевка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11,31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Яр − Глазов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37,59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23,00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48,93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Казань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48,82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48,82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6 679 373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16,05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 − Ижевск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48,82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48,82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467 700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1,12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Казань - Сосновка 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48,82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48,82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1 254 300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3,01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12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Требования к параметрам регионального заказа на 2020 год</w:t>
            </w:r>
          </w:p>
        </w:tc>
      </w:tr>
    </w:tbl>
    <w:p w:rsidR="00BD3C50" w:rsidRDefault="00BD3C50"/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803"/>
        <w:gridCol w:w="1346"/>
        <w:gridCol w:w="903"/>
        <w:gridCol w:w="903"/>
        <w:gridCol w:w="902"/>
        <w:gridCol w:w="903"/>
        <w:gridCol w:w="903"/>
        <w:gridCol w:w="902"/>
        <w:gridCol w:w="903"/>
        <w:gridCol w:w="788"/>
        <w:gridCol w:w="1017"/>
      </w:tblGrid>
      <w:tr w:rsidR="00BD3C50">
        <w:trPr>
          <w:tblHeader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bottom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80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Вид транспорта</w:t>
            </w:r>
          </w:p>
        </w:tc>
        <w:tc>
          <w:tcPr>
            <w:tcW w:w="13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Сообщение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Объём заказа</w:t>
            </w:r>
          </w:p>
        </w:tc>
        <w:tc>
          <w:tcPr>
            <w:tcW w:w="18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Уровень тарифа за зону</w:t>
            </w:r>
          </w:p>
        </w:tc>
        <w:tc>
          <w:tcPr>
            <w:tcW w:w="2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Расчет стоимости регионального заказа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Общая стоимость регионального транспортного заказа, млн. руб.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ние</w:t>
            </w:r>
            <w:proofErr w:type="spellEnd"/>
          </w:p>
        </w:tc>
      </w:tr>
      <w:tr w:rsidR="00BD3C50">
        <w:trPr>
          <w:tblHeader/>
        </w:trPr>
        <w:tc>
          <w:tcPr>
            <w:tcW w:w="44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/п</w:t>
            </w:r>
          </w:p>
        </w:tc>
        <w:tc>
          <w:tcPr>
            <w:tcW w:w="8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34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место-км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размеры движения, пар поездов или рейсов в сутки (туда-обратно)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Экономически обоснованный, руб./10 км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Установленный в рамках регионального заказа для населения, руб./10 км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Средний экономически обоснованный уровень тарифа**, руб./10 пасс-км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 установленный в рамках регионального заказа для населения**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Пасс-км</w:t>
            </w:r>
          </w:p>
        </w:tc>
        <w:tc>
          <w:tcPr>
            <w:tcW w:w="7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0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Пижма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7,02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Ежиха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21,06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Котельнич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53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45,98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Подосиновец − Пинюг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1,11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 − Христофорово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1,90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 − Луза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1,22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Луза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7,74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29,73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Зуевка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6,74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Яр − Глазов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29,18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Казань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61,42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61,42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6 679 373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24,47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 − Ижевск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61,42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61,42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467 700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1,71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14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 - Сосновка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61,42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61,42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1 254 300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4,59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12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Требования к параметрам регионального заказа на 2025 год</w:t>
            </w:r>
          </w:p>
        </w:tc>
      </w:tr>
    </w:tbl>
    <w:p w:rsidR="00BD3C50" w:rsidRDefault="00BD3C50"/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803"/>
        <w:gridCol w:w="1346"/>
        <w:gridCol w:w="903"/>
        <w:gridCol w:w="903"/>
        <w:gridCol w:w="902"/>
        <w:gridCol w:w="903"/>
        <w:gridCol w:w="903"/>
        <w:gridCol w:w="902"/>
        <w:gridCol w:w="903"/>
        <w:gridCol w:w="788"/>
        <w:gridCol w:w="1017"/>
      </w:tblGrid>
      <w:tr w:rsidR="00BD3C50">
        <w:trPr>
          <w:tblHeader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bottom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80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Вид транспорта</w:t>
            </w:r>
          </w:p>
        </w:tc>
        <w:tc>
          <w:tcPr>
            <w:tcW w:w="13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Сообщение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Объём заказа</w:t>
            </w:r>
          </w:p>
        </w:tc>
        <w:tc>
          <w:tcPr>
            <w:tcW w:w="18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Уровень тарифа за зону</w:t>
            </w:r>
          </w:p>
        </w:tc>
        <w:tc>
          <w:tcPr>
            <w:tcW w:w="2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Расчет стоимости регионального заказа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Общая стоимость регионального транспортного заказа, млн. руб.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ние</w:t>
            </w:r>
            <w:proofErr w:type="spellEnd"/>
          </w:p>
        </w:tc>
      </w:tr>
      <w:tr w:rsidR="00BD3C50">
        <w:trPr>
          <w:tblHeader/>
        </w:trPr>
        <w:tc>
          <w:tcPr>
            <w:tcW w:w="44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/п</w:t>
            </w:r>
          </w:p>
        </w:tc>
        <w:tc>
          <w:tcPr>
            <w:tcW w:w="8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34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место-км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размеры движения, пар поездов или рейсов в сутки (туда-обратно)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Экономически обоснованный, руб./10 км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Установленный в рамках регионального заказа для населения, руб./10 км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Средний экономически обоснованный уровень тарифа**, руб./10 пасс-км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 установленный в рамках регионального заказа для населения**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Пасс-км</w:t>
            </w:r>
          </w:p>
        </w:tc>
        <w:tc>
          <w:tcPr>
            <w:tcW w:w="7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0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Пижма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7,83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lastRenderedPageBreak/>
              <w:t>2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Ежиха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23,48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Ежиха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23,48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Котельнич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53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51,26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Подосиновец − Пинюг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1,23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 − Христофорово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2,12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 − Луза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1,36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Луза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8,63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33,15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Зуевка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7,52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Яр − Глазов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36,60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26,90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32,54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Казань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74,32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74,32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6 679 373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29,74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 − Ижевск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74,32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74,32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467 700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2,08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 - Сосновка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74,32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74,32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29,79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1 254 300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5,59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12"/>
            <w:tcBorders>
              <w:bottom w:val="single" w:sz="5" w:space="0" w:color="000000"/>
            </w:tcBorders>
            <w:shd w:val="clear" w:color="auto" w:fill="auto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Требования к параметрам регионального заказа на 2030 год</w:t>
            </w:r>
          </w:p>
        </w:tc>
      </w:tr>
    </w:tbl>
    <w:p w:rsidR="00BD3C50" w:rsidRDefault="00BD3C50"/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803"/>
        <w:gridCol w:w="1346"/>
        <w:gridCol w:w="903"/>
        <w:gridCol w:w="903"/>
        <w:gridCol w:w="902"/>
        <w:gridCol w:w="903"/>
        <w:gridCol w:w="903"/>
        <w:gridCol w:w="902"/>
        <w:gridCol w:w="903"/>
        <w:gridCol w:w="788"/>
        <w:gridCol w:w="1017"/>
      </w:tblGrid>
      <w:tr w:rsidR="00BD3C50">
        <w:trPr>
          <w:tblHeader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bottom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№</w:t>
            </w:r>
          </w:p>
        </w:tc>
        <w:tc>
          <w:tcPr>
            <w:tcW w:w="80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Вид транспорта</w:t>
            </w:r>
          </w:p>
        </w:tc>
        <w:tc>
          <w:tcPr>
            <w:tcW w:w="13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Сообщение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Объём заказа</w:t>
            </w:r>
          </w:p>
        </w:tc>
        <w:tc>
          <w:tcPr>
            <w:tcW w:w="18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Уровень тарифа за зону</w:t>
            </w:r>
          </w:p>
        </w:tc>
        <w:tc>
          <w:tcPr>
            <w:tcW w:w="2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Расчет стоимости регионального заказа</w:t>
            </w:r>
          </w:p>
        </w:tc>
        <w:tc>
          <w:tcPr>
            <w:tcW w:w="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Общая стоимость регионального транспортного заказа, млн. руб.</w:t>
            </w:r>
          </w:p>
        </w:tc>
        <w:tc>
          <w:tcPr>
            <w:tcW w:w="10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Примеч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ние</w:t>
            </w:r>
            <w:proofErr w:type="spellEnd"/>
          </w:p>
        </w:tc>
      </w:tr>
      <w:tr w:rsidR="00BD3C50">
        <w:trPr>
          <w:tblHeader/>
        </w:trPr>
        <w:tc>
          <w:tcPr>
            <w:tcW w:w="44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/п</w:t>
            </w:r>
          </w:p>
        </w:tc>
        <w:tc>
          <w:tcPr>
            <w:tcW w:w="8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34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место-км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размеры движения, пар поездов или рейсов в сутки (туда-обратно)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Экономически обоснованный, руб./10 км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Установленный в рамках регионального заказа для населения, руб./10 км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Средний экономически обоснованный уровень тарифа**, руб./10 пасс-км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Средний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 xml:space="preserve"> установленный в рамках регионального заказа для населения**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</w:rPr>
              <w:t>Пасс-км</w:t>
            </w:r>
          </w:p>
        </w:tc>
        <w:tc>
          <w:tcPr>
            <w:tcW w:w="7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  <w:tc>
          <w:tcPr>
            <w:tcW w:w="10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D3C50" w:rsidRDefault="00BD3C50"/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Пижма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7,21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Ежиха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37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21,62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Котельнич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57,65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Подосиновец − Пинюг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1,75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Луза − Христофорово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2,77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Пинюг − Луза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1,39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− Луза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15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8,77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Киров −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Мураши</w:t>
            </w:r>
            <w:proofErr w:type="gramEnd"/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55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32,00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Зуевка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221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99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57,65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Киров − Яр − Глазов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180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38,26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32,43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55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0,00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32,24</w:t>
            </w: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Казань −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Кизнер</w:t>
            </w:r>
            <w:proofErr w:type="spellEnd"/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129,69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129,69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6 679 373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63,39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Вятские Поляны − Ижевск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129,69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129,69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467 700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4,44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Железнодорожный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Казань - Сосновка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129,69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129,69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34,79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1 254 300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E022C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11,90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3" w:type="dxa"/>
              <w:left w:w="43" w:type="dxa"/>
              <w:right w:w="43" w:type="dxa"/>
            </w:tcMar>
            <w:vAlign w:val="center"/>
          </w:tcPr>
          <w:p w:rsidR="00BD3C50" w:rsidRDefault="00BD3C50">
            <w:pPr>
              <w:spacing w:line="232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BD3C50">
        <w:tc>
          <w:tcPr>
            <w:tcW w:w="10717" w:type="dxa"/>
            <w:gridSpan w:val="12"/>
            <w:tcBorders>
              <w:top w:val="single" w:sz="5" w:space="0" w:color="000000"/>
            </w:tcBorders>
            <w:shd w:val="clear" w:color="auto" w:fill="auto"/>
          </w:tcPr>
          <w:p w:rsidR="00BD3C50" w:rsidRDefault="00E022C0">
            <w:pPr>
              <w:pStyle w:val="p"/>
              <w:spacing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lastRenderedPageBreak/>
              <w:t>Целевая модель развития пригородных железнодорожных перевозок по территории Кировской области в 2026 − 2030 годы предусматривает разделение Кировского узла на три фокус-зоны, к которым применяются различные стратегии развития и обслуживания.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Внутригородские перевозки в городе Кирове предполагают реализацию проекта «Наземное метро»: тактовое движение в утренние и вечерние «часы пик» по внутригородскому маршруту Матанцы-Поздино, с отправлением (прибытием) каждые полчаса для полного удовлетворения потребности в передвижении пассажиров, перемещающихся по городу. Движение по маршруту не менее 7 пар поездов в сутки.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i/>
                <w:iCs/>
                <w:noProof/>
                <w:sz w:val="24"/>
              </w:rPr>
              <w:t>Перевозки до 100 км – сообщение между Кировом и городами-спутниками, предполагают курсирование пригородных поездов по следующим маршрутам:</w:t>
            </w:r>
          </w:p>
          <w:p w:rsidR="00BD3C50" w:rsidRDefault="00E022C0">
            <w:pPr>
              <w:pStyle w:val="li"/>
              <w:numPr>
                <w:ilvl w:val="0"/>
                <w:numId w:val="2"/>
              </w:numPr>
              <w:spacing w:before="240"/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Киров − Слободской (не менее 7 пар пригородных поездов);</w:t>
            </w:r>
          </w:p>
          <w:p w:rsidR="00BD3C50" w:rsidRDefault="00E022C0">
            <w:pPr>
              <w:pStyle w:val="li"/>
              <w:numPr>
                <w:ilvl w:val="0"/>
                <w:numId w:val="2"/>
              </w:numPr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Киров − Кирово-Чепецк (не менее 12 пар пригородных поездов);</w:t>
            </w:r>
          </w:p>
          <w:p w:rsidR="00BD3C50" w:rsidRDefault="00E022C0">
            <w:pPr>
              <w:pStyle w:val="li"/>
              <w:numPr>
                <w:ilvl w:val="0"/>
                <w:numId w:val="2"/>
              </w:numPr>
              <w:spacing w:after="240"/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Киров − Котельнич, Киров − Зуевка (тактовое движение в утренние и вечерние «часы пик» − каждый час, для удовлетворения потребности в передвижении пассажиров, совершающих поездки на работу).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перевозки до 200 км – сообщение с севером области. Рассматриваемое направление является социально значимым и обладает значительным конкурентным преимуществом перед автотранспортом, так как железнодорожная линия в отличии от автодороги соединяет по прямой северные районы со столицей области.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В настоящее время  пассажиры активно пользуются следующими транспортно-пересадочными узлами (далее − ТПУ): Киров, Киров − Котласский, остановочная платформа 9 км.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i/>
                <w:iCs/>
                <w:noProof/>
                <w:sz w:val="24"/>
              </w:rPr>
              <w:t>Для создания рациональной маршрутной сети необходимо обустройство следующих ТПУ:</w:t>
            </w:r>
          </w:p>
          <w:p w:rsidR="00BD3C50" w:rsidRDefault="00E022C0">
            <w:pPr>
              <w:pStyle w:val="li"/>
              <w:numPr>
                <w:ilvl w:val="0"/>
                <w:numId w:val="3"/>
              </w:numPr>
              <w:spacing w:before="240"/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«Луганская»; </w:t>
            </w:r>
          </w:p>
          <w:p w:rsidR="00BD3C50" w:rsidRDefault="00E022C0">
            <w:pPr>
              <w:pStyle w:val="li"/>
              <w:numPr>
                <w:ilvl w:val="0"/>
                <w:numId w:val="3"/>
              </w:numPr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«Калинина»; </w:t>
            </w:r>
          </w:p>
          <w:p w:rsidR="00BD3C50" w:rsidRDefault="00E022C0">
            <w:pPr>
              <w:pStyle w:val="li"/>
              <w:numPr>
                <w:ilvl w:val="0"/>
                <w:numId w:val="3"/>
              </w:numPr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«Луговой»; </w:t>
            </w:r>
          </w:p>
          <w:p w:rsidR="00BD3C50" w:rsidRDefault="00E022C0">
            <w:pPr>
              <w:pStyle w:val="li"/>
              <w:numPr>
                <w:ilvl w:val="0"/>
                <w:numId w:val="3"/>
              </w:numPr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«Дендрарий»;</w:t>
            </w:r>
          </w:p>
          <w:p w:rsidR="00BD3C50" w:rsidRDefault="00E022C0">
            <w:pPr>
              <w:pStyle w:val="li"/>
              <w:numPr>
                <w:ilvl w:val="0"/>
                <w:numId w:val="3"/>
              </w:numPr>
              <w:spacing w:after="240"/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«Советская».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Со строительством и вводом в эксплуатацию ТПУ «Луганский» население Октябрьского района города Киров получит возможность быстро, беспрепятственно и по приемлемой стоимости перемещаться по городу, а также совершать поездки в северные районы области и город Слободской, тратя значительно меньше времени на дорогу.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«Луганский» будет интересен пассажирам, следующим из северных районов области и города Слободского в Октябрьский район Кирова.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ТПУ «Калинина» будет удобен не только для перемещения населения Ленинского района, но и для граждан, работающих в промышленной зоне рассматриваемого района, как проживающих в Кирове, так и за его пределами (в Северных районах и Слободском).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Организация ТПУ «Луговой», «Дендрарий» и «Советская»позволит населению близлежащих населенных пунктов пользоваться пригородным железнодорожным транспортом для перемещения в любом направлении по городу Киров и области. 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lastRenderedPageBreak/>
              <w:t>В свою очередь пассажиры из Кирово-Чепецка и Зуевского района потратят гораздо меньше времени и без дополнительных пересадок смогут добраться в «Луговое», Корчемкино и Нововятский район Кирова.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Перспективными для организации и развития железнодорожного транспорта в пригородном сообщении являются следующие маршруты: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Матанцы-Поздино – перспективный внутригородской железнодорожный маршрут, протяженностью 29 км. Для организации данного маршрута необходимо: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электрификация участка Киров-Матанцы, обустройство пункта оборота электропоездов на станции Матанцы и Поздино, строительство дополнительных пассажирских платформ для организации скрещения электропоездов на станциях Киров-Котласский, Красносельский;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проектирование и обустройство следующих пассажирских платформ «Луганский», «Калинина», «Луговой» и «Дендрарий».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D629EA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6108065" cy="429387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065" cy="429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Для значительной доли населения, проживающего в Кирове, в настоящее время внутригородской железнодорожный транспорт не является привлекательным из-за неудобного расположения остановочных пунктов.  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lastRenderedPageBreak/>
              <w:t>По результатам маркетинговых исследований установлено, что наиболее комфортное для пассажира время в пути от дома до железнодорожной платформы не должно превышать 15 минут. Если дорога занимает больше времени, то человек предпочтет иной вид транспорта железнодорожному (при наличии альтернативы).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Строительство обозначенных платформ позволит создать для жителей города Кирова наиболее приемлемую и функциональную внутригородскую железнодорожную маршрутную сеть, охватывающую большинство районов города.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Слободской – Киров - перспективный железнодорожный маршрут протяженностью 75 км. Организация данного маршрута позволит охватить железнодорожным сообщением всю городскую агломерацию города Кирова.  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Для реализации заданных показателей необходима электрификация участка Матанцы-Слободской, обустройство станции Долгушино со строительством пассажирских платформ для организации скрещения электропоездов.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Киров – Кирово-Чепецк - перспективный железнодорожный маршрут протяженностью 48 км.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В настоящее время платформа «Чепецкая» расположена в промышленной части города. Для освоения перспективного пассажиропотока необходимо строительство соединительной ветки на железнодорожной станции Бумкомбинат для следования электропоезда без смены направления движения, а также продления железнодорожных путей от станции Чепецкая до пересечения улиц Некрасова и Ленина и строительство там пассажирской платформы.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Организация железнодорожных перевозок совместно с автобусными позволит грамотно составить логистические цепочки перемещения пассажиров. 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Основными преимуществами пассажиров будут являться удобное расписание, оптимальное время пересадки между видами транспорта, значительное сокращение времени в пути (по сравнению с пригородным автобусным сообщением), гарантированное предоставление посадочного места в автобусе, оформлении на оба вида транспорта одного проездного документа, действительного на протяжении всего маршрута следования. 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Целесообразна организация транспортно-пересадочных узлов на станциях Котельнич, Зуевка и Фаленки.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D629EA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6166485" cy="433070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85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i/>
                <w:iCs/>
                <w:noProof/>
                <w:sz w:val="24"/>
              </w:rPr>
              <w:t>Информация о задолженности за услуги по пригородным железнодорожным перевозкам, оказанные в 2011-2014 годах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По данным пригородных пассажирских компаний задолженность Кировской области по пригородным железнодорожным перевозкам, оказанным в 2011 − 2014 годах, составляет 87,2 млн. рублей, в том числе:</w:t>
            </w:r>
          </w:p>
          <w:p w:rsidR="00BD3C50" w:rsidRDefault="00E022C0">
            <w:pPr>
              <w:pStyle w:val="li"/>
              <w:numPr>
                <w:ilvl w:val="0"/>
                <w:numId w:val="4"/>
              </w:numPr>
              <w:spacing w:before="240"/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ОАО «ВВППК» - 54,5 млн. рублей, открытое акционерное общество «Северная пригородная пассажирская компания» (далее – ОАО «СППК») - 32,7 млн. рублей.</w:t>
            </w:r>
          </w:p>
          <w:p w:rsidR="00BD3C50" w:rsidRDefault="00E022C0">
            <w:pPr>
              <w:pStyle w:val="li"/>
              <w:numPr>
                <w:ilvl w:val="0"/>
                <w:numId w:val="4"/>
              </w:numPr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 ОАО «ВВППК» заключены долгосрочные соглашения о реструктуризации задолженности на сумму 54,5 млн. рублей.</w:t>
            </w:r>
          </w:p>
          <w:p w:rsidR="00BD3C50" w:rsidRDefault="00E022C0">
            <w:pPr>
              <w:pStyle w:val="li"/>
              <w:numPr>
                <w:ilvl w:val="0"/>
                <w:numId w:val="4"/>
              </w:numPr>
              <w:spacing w:after="240"/>
              <w:ind w:hanging="21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 ОАО «СППК» урегулирование споров решается в судебном порядке.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</w:tbl>
    <w:p w:rsidR="00BD3C50" w:rsidRDefault="00E022C0">
      <w:r>
        <w:lastRenderedPageBreak/>
        <w:br w:type="page"/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7"/>
      </w:tblGrid>
      <w:tr w:rsidR="00BD3C50">
        <w:tc>
          <w:tcPr>
            <w:tcW w:w="10717" w:type="dxa"/>
            <w:shd w:val="clear" w:color="auto" w:fill="auto"/>
          </w:tcPr>
          <w:p w:rsidR="00BD3C50" w:rsidRDefault="00E022C0">
            <w:pPr>
              <w:pStyle w:val="1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lastRenderedPageBreak/>
              <w:t>Использованные сокращения</w:t>
            </w:r>
          </w:p>
        </w:tc>
      </w:tr>
    </w:tbl>
    <w:p w:rsidR="00BD3C50" w:rsidRDefault="00E022C0">
      <w:r>
        <w:br w:type="page"/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7"/>
      </w:tblGrid>
      <w:tr w:rsidR="00BD3C50">
        <w:tc>
          <w:tcPr>
            <w:tcW w:w="10717" w:type="dxa"/>
            <w:shd w:val="clear" w:color="auto" w:fill="auto"/>
          </w:tcPr>
          <w:p w:rsidR="00BD3C50" w:rsidRDefault="00E022C0">
            <w:pPr>
              <w:pStyle w:val="1"/>
              <w:spacing w:line="232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</w:rPr>
              <w:lastRenderedPageBreak/>
              <w:t>Источники</w:t>
            </w:r>
          </w:p>
        </w:tc>
      </w:tr>
      <w:tr w:rsidR="00BD3C50">
        <w:tc>
          <w:tcPr>
            <w:tcW w:w="10717" w:type="dxa"/>
            <w:shd w:val="clear" w:color="auto" w:fill="auto"/>
          </w:tcPr>
          <w:p w:rsidR="00BD3C50" w:rsidRDefault="00E022C0">
            <w:pPr>
              <w:pStyle w:val="li"/>
              <w:numPr>
                <w:ilvl w:val="0"/>
                <w:numId w:val="1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Распоряжение Правительства Российской Федерации от 19.05.2014</w:t>
            </w:r>
            <w:r>
              <w:rPr>
                <w:rFonts w:eastAsia="Times New Roman"/>
                <w:noProof/>
                <w:sz w:val="24"/>
              </w:rPr>
              <w:br/>
              <w:t>№ 857-р «Об утверждении Концепции развития пригородных пассажирских перевозок железнодорожным транспортом»;</w:t>
            </w:r>
          </w:p>
          <w:p w:rsidR="00BD3C50" w:rsidRDefault="00E022C0">
            <w:pPr>
              <w:pStyle w:val="li"/>
              <w:numPr>
                <w:ilvl w:val="0"/>
                <w:numId w:val="1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Федеральный закон 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Федерации»;</w:t>
            </w:r>
          </w:p>
          <w:p w:rsidR="00BD3C50" w:rsidRDefault="00E022C0">
            <w:pPr>
              <w:pStyle w:val="li"/>
              <w:numPr>
                <w:ilvl w:val="0"/>
                <w:numId w:val="1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 xml:space="preserve">Транспортная стратегия Российской Федерации на период до 2030 года, утвержденная распоряжением Правительства Российской Федерации </w:t>
            </w:r>
            <w:r>
              <w:rPr>
                <w:rFonts w:eastAsia="Times New Roman"/>
                <w:noProof/>
                <w:sz w:val="24"/>
              </w:rPr>
              <w:br/>
              <w:t>от 22.11.2008 № 1734-р;</w:t>
            </w:r>
          </w:p>
          <w:p w:rsidR="00BD3C50" w:rsidRDefault="00E022C0">
            <w:pPr>
              <w:pStyle w:val="li"/>
              <w:numPr>
                <w:ilvl w:val="0"/>
                <w:numId w:val="1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Методические рекомендации по формированию комплексного плана транспортного обслуживания населения субъектами Российской Федерации на средне- и долгосрочную перспективу;</w:t>
            </w:r>
          </w:p>
          <w:p w:rsidR="00BD3C50" w:rsidRDefault="00E022C0">
            <w:pPr>
              <w:pStyle w:val="li"/>
              <w:numPr>
                <w:ilvl w:val="0"/>
                <w:numId w:val="1"/>
              </w:numPr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Стратегия социально-экономического развития Кировской области до 2020 года;</w:t>
            </w:r>
          </w:p>
          <w:p w:rsidR="00BD3C50" w:rsidRDefault="00E022C0">
            <w:pPr>
              <w:pStyle w:val="li"/>
              <w:numPr>
                <w:ilvl w:val="0"/>
                <w:numId w:val="1"/>
              </w:numPr>
              <w:spacing w:after="240"/>
              <w:ind w:hanging="28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Отчетность перевозчиков.</w:t>
            </w:r>
          </w:p>
          <w:p w:rsidR="00BD3C50" w:rsidRDefault="00E022C0">
            <w:pPr>
              <w:pStyle w:val="p"/>
              <w:spacing w:before="240" w:after="240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BD3C50" w:rsidRDefault="00E022C0">
            <w:pPr>
              <w:pStyle w:val="p"/>
              <w:spacing w:before="240" w:after="240" w:line="360" w:lineRule="auto"/>
              <w:ind w:firstLine="709"/>
              <w:jc w:val="both"/>
              <w:rPr>
                <w:rFonts w:eastAsia="Times New Roman" w:hint="default"/>
                <w:noProof/>
              </w:rPr>
            </w:pPr>
            <w:r>
              <w:rPr>
                <w:rFonts w:eastAsia="Times New Roman"/>
                <w:noProof/>
                <w:sz w:val="24"/>
              </w:rPr>
              <w:t> </w:t>
            </w:r>
          </w:p>
          <w:p w:rsidR="00A77B3E" w:rsidRDefault="00465E70">
            <w:pPr>
              <w:rPr>
                <w:rFonts w:ascii="Times New Roman" w:eastAsia="Times New Roman" w:hAnsi="Times New Roman" w:cs="Times New Roman"/>
              </w:rPr>
            </w:pPr>
          </w:p>
          <w:p w:rsidR="00BD3C50" w:rsidRDefault="00BD3C50">
            <w:pPr>
              <w:spacing w:line="232" w:lineRule="auto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</w:tbl>
    <w:p w:rsidR="00BD3C50" w:rsidRDefault="00BD3C50"/>
    <w:sectPr w:rsidR="00BD3C50">
      <w:headerReference w:type="default" r:id="rId16"/>
      <w:footerReference w:type="default" r:id="rId17"/>
      <w:pgSz w:w="11906" w:h="16838"/>
      <w:pgMar w:top="567" w:right="567" w:bottom="517" w:left="567" w:header="567" w:footer="51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E70" w:rsidRDefault="00465E70">
      <w:r>
        <w:separator/>
      </w:r>
    </w:p>
  </w:endnote>
  <w:endnote w:type="continuationSeparator" w:id="0">
    <w:p w:rsidR="00465E70" w:rsidRDefault="00465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C50" w:rsidRDefault="00E022C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C50" w:rsidRDefault="00E022C0">
    <w:r>
      <w:cr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C50" w:rsidRDefault="00E022C0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E70" w:rsidRDefault="00465E70">
      <w:r>
        <w:separator/>
      </w:r>
    </w:p>
  </w:footnote>
  <w:footnote w:type="continuationSeparator" w:id="0">
    <w:p w:rsidR="00465E70" w:rsidRDefault="00465E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C50" w:rsidRDefault="00E022C0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C50" w:rsidRDefault="00E022C0">
    <w:r>
      <w:c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C50" w:rsidRDefault="00E022C0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1"/>
    <w:lvl w:ilvl="0" w:tplc="95462EE4">
      <w:start w:val="1"/>
      <w:numFmt w:val="bullet"/>
      <w:lvlText w:val=""/>
      <w:lvlJc w:val="left"/>
      <w:pPr>
        <w:ind w:left="720" w:hanging="360"/>
      </w:pPr>
      <w:rPr>
        <w:rFonts w:ascii="Symbol" w:hAnsi="Symbol"/>
        <w:rtl w:val="0"/>
      </w:rPr>
    </w:lvl>
    <w:lvl w:ilvl="1" w:tplc="3A4015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rtl w:val="0"/>
      </w:rPr>
    </w:lvl>
    <w:lvl w:ilvl="2" w:tplc="FBACC0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rtl w:val="0"/>
      </w:rPr>
    </w:lvl>
    <w:lvl w:ilvl="3" w:tplc="9EA00F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rtl w:val="0"/>
      </w:rPr>
    </w:lvl>
    <w:lvl w:ilvl="4" w:tplc="E3D04C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rtl w:val="0"/>
      </w:rPr>
    </w:lvl>
    <w:lvl w:ilvl="5" w:tplc="03448D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rtl w:val="0"/>
      </w:rPr>
    </w:lvl>
    <w:lvl w:ilvl="6" w:tplc="9ED6FC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rtl w:val="0"/>
      </w:rPr>
    </w:lvl>
    <w:lvl w:ilvl="7" w:tplc="F9E439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rtl w:val="0"/>
      </w:rPr>
    </w:lvl>
    <w:lvl w:ilvl="8" w:tplc="9D6E35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rtl w:val="0"/>
      </w:rPr>
    </w:lvl>
  </w:abstractNum>
  <w:abstractNum w:abstractNumId="2">
    <w:nsid w:val="00000003"/>
    <w:multiLevelType w:val="hybridMultilevel"/>
    <w:tmpl w:val="00000002"/>
    <w:lvl w:ilvl="0" w:tplc="93C8F6D4">
      <w:start w:val="1"/>
      <w:numFmt w:val="bullet"/>
      <w:lvlText w:val=""/>
      <w:lvlJc w:val="left"/>
      <w:pPr>
        <w:ind w:left="720" w:hanging="360"/>
      </w:pPr>
      <w:rPr>
        <w:rFonts w:ascii="Symbol" w:hAnsi="Symbol"/>
        <w:rtl w:val="0"/>
      </w:rPr>
    </w:lvl>
    <w:lvl w:ilvl="1" w:tplc="DFEC10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rtl w:val="0"/>
      </w:rPr>
    </w:lvl>
    <w:lvl w:ilvl="2" w:tplc="FB7A3F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rtl w:val="0"/>
      </w:rPr>
    </w:lvl>
    <w:lvl w:ilvl="3" w:tplc="7B4C7F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rtl w:val="0"/>
      </w:rPr>
    </w:lvl>
    <w:lvl w:ilvl="4" w:tplc="023C10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rtl w:val="0"/>
      </w:rPr>
    </w:lvl>
    <w:lvl w:ilvl="5" w:tplc="0B2E34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rtl w:val="0"/>
      </w:rPr>
    </w:lvl>
    <w:lvl w:ilvl="6" w:tplc="89BEA6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rtl w:val="0"/>
      </w:rPr>
    </w:lvl>
    <w:lvl w:ilvl="7" w:tplc="A10239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rtl w:val="0"/>
      </w:rPr>
    </w:lvl>
    <w:lvl w:ilvl="8" w:tplc="AD8C63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rtl w:val="0"/>
      </w:rPr>
    </w:lvl>
  </w:abstractNum>
  <w:abstractNum w:abstractNumId="3">
    <w:nsid w:val="00000004"/>
    <w:multiLevelType w:val="hybridMultilevel"/>
    <w:tmpl w:val="00000003"/>
    <w:lvl w:ilvl="0" w:tplc="74A8D8BE">
      <w:start w:val="1"/>
      <w:numFmt w:val="bullet"/>
      <w:lvlText w:val=""/>
      <w:lvlJc w:val="left"/>
      <w:pPr>
        <w:ind w:left="720" w:hanging="360"/>
      </w:pPr>
      <w:rPr>
        <w:rFonts w:ascii="Symbol" w:hAnsi="Symbol"/>
        <w:rtl w:val="0"/>
      </w:rPr>
    </w:lvl>
    <w:lvl w:ilvl="1" w:tplc="776A7E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rtl w:val="0"/>
      </w:rPr>
    </w:lvl>
    <w:lvl w:ilvl="2" w:tplc="E160A4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rtl w:val="0"/>
      </w:rPr>
    </w:lvl>
    <w:lvl w:ilvl="3" w:tplc="931AD2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rtl w:val="0"/>
      </w:rPr>
    </w:lvl>
    <w:lvl w:ilvl="4" w:tplc="E4CC19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rtl w:val="0"/>
      </w:rPr>
    </w:lvl>
    <w:lvl w:ilvl="5" w:tplc="347271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rtl w:val="0"/>
      </w:rPr>
    </w:lvl>
    <w:lvl w:ilvl="6" w:tplc="F9D4BE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rtl w:val="0"/>
      </w:rPr>
    </w:lvl>
    <w:lvl w:ilvl="7" w:tplc="4B4C1E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rtl w:val="0"/>
      </w:rPr>
    </w:lvl>
    <w:lvl w:ilvl="8" w:tplc="480079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rtl w:val="0"/>
      </w:rPr>
    </w:lvl>
  </w:abstractNum>
  <w:abstractNum w:abstractNumId="4">
    <w:nsid w:val="00000005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hybridMultilevel"/>
    <w:tmpl w:val="00000001"/>
    <w:lvl w:ilvl="0" w:tplc="3A5AD78A">
      <w:start w:val="1"/>
      <w:numFmt w:val="bullet"/>
      <w:lvlText w:val=""/>
      <w:lvlJc w:val="left"/>
      <w:pPr>
        <w:ind w:left="720" w:hanging="360"/>
      </w:pPr>
      <w:rPr>
        <w:rFonts w:ascii="Symbol" w:hAnsi="Symbol"/>
        <w:rtl w:val="0"/>
      </w:rPr>
    </w:lvl>
    <w:lvl w:ilvl="1" w:tplc="5374E9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rtl w:val="0"/>
      </w:rPr>
    </w:lvl>
    <w:lvl w:ilvl="2" w:tplc="FD3A38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rtl w:val="0"/>
      </w:rPr>
    </w:lvl>
    <w:lvl w:ilvl="3" w:tplc="0F28D4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rtl w:val="0"/>
      </w:rPr>
    </w:lvl>
    <w:lvl w:ilvl="4" w:tplc="C3A05E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rtl w:val="0"/>
      </w:rPr>
    </w:lvl>
    <w:lvl w:ilvl="5" w:tplc="71462B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rtl w:val="0"/>
      </w:rPr>
    </w:lvl>
    <w:lvl w:ilvl="6" w:tplc="09A09F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rtl w:val="0"/>
      </w:rPr>
    </w:lvl>
    <w:lvl w:ilvl="7" w:tplc="FA9240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rtl w:val="0"/>
      </w:rPr>
    </w:lvl>
    <w:lvl w:ilvl="8" w:tplc="EC6A48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rtl w:val="0"/>
      </w:rPr>
    </w:lvl>
  </w:abstractNum>
  <w:abstractNum w:abstractNumId="6">
    <w:nsid w:val="00000007"/>
    <w:multiLevelType w:val="hybridMultilevel"/>
    <w:tmpl w:val="00000001"/>
    <w:lvl w:ilvl="0" w:tplc="A7D06D18">
      <w:start w:val="1"/>
      <w:numFmt w:val="bullet"/>
      <w:lvlText w:val=""/>
      <w:lvlJc w:val="left"/>
      <w:pPr>
        <w:ind w:left="720" w:hanging="360"/>
      </w:pPr>
      <w:rPr>
        <w:rFonts w:ascii="Symbol" w:hAnsi="Symbol"/>
        <w:rtl w:val="0"/>
      </w:rPr>
    </w:lvl>
    <w:lvl w:ilvl="1" w:tplc="8AA8D1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rtl w:val="0"/>
      </w:rPr>
    </w:lvl>
    <w:lvl w:ilvl="2" w:tplc="1A64B0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rtl w:val="0"/>
      </w:rPr>
    </w:lvl>
    <w:lvl w:ilvl="3" w:tplc="003AF0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rtl w:val="0"/>
      </w:rPr>
    </w:lvl>
    <w:lvl w:ilvl="4" w:tplc="DE423C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rtl w:val="0"/>
      </w:rPr>
    </w:lvl>
    <w:lvl w:ilvl="5" w:tplc="A8CE5A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rtl w:val="0"/>
      </w:rPr>
    </w:lvl>
    <w:lvl w:ilvl="6" w:tplc="86A4C3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rtl w:val="0"/>
      </w:rPr>
    </w:lvl>
    <w:lvl w:ilvl="7" w:tplc="271252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rtl w:val="0"/>
      </w:rPr>
    </w:lvl>
    <w:lvl w:ilvl="8" w:tplc="73E243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rtl w:val="0"/>
      </w:rPr>
    </w:lvl>
  </w:abstractNum>
  <w:abstractNum w:abstractNumId="7">
    <w:nsid w:val="00000008"/>
    <w:multiLevelType w:val="hybridMultilevel"/>
    <w:tmpl w:val="00000002"/>
    <w:lvl w:ilvl="0" w:tplc="5EDEDD86">
      <w:start w:val="1"/>
      <w:numFmt w:val="bullet"/>
      <w:lvlText w:val=""/>
      <w:lvlJc w:val="left"/>
      <w:pPr>
        <w:ind w:left="720" w:hanging="360"/>
      </w:pPr>
      <w:rPr>
        <w:rFonts w:ascii="Symbol" w:hAnsi="Symbol"/>
        <w:rtl w:val="0"/>
      </w:rPr>
    </w:lvl>
    <w:lvl w:ilvl="1" w:tplc="DA2A14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rtl w:val="0"/>
      </w:rPr>
    </w:lvl>
    <w:lvl w:ilvl="2" w:tplc="2A7EA8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rtl w:val="0"/>
      </w:rPr>
    </w:lvl>
    <w:lvl w:ilvl="3" w:tplc="F500A0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rtl w:val="0"/>
      </w:rPr>
    </w:lvl>
    <w:lvl w:ilvl="4" w:tplc="EAA0AF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rtl w:val="0"/>
      </w:rPr>
    </w:lvl>
    <w:lvl w:ilvl="5" w:tplc="FA6216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rtl w:val="0"/>
      </w:rPr>
    </w:lvl>
    <w:lvl w:ilvl="6" w:tplc="9A4AA0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rtl w:val="0"/>
      </w:rPr>
    </w:lvl>
    <w:lvl w:ilvl="7" w:tplc="7506DD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rtl w:val="0"/>
      </w:rPr>
    </w:lvl>
    <w:lvl w:ilvl="8" w:tplc="D82484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rtl w:val="0"/>
      </w:rPr>
    </w:lvl>
  </w:abstractNum>
  <w:abstractNum w:abstractNumId="8">
    <w:nsid w:val="00000009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000000A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000000B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000000D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C50"/>
    <w:rsid w:val="00465E70"/>
    <w:rsid w:val="00BD3C50"/>
    <w:rsid w:val="00D629EA"/>
    <w:rsid w:val="00E022C0"/>
    <w:rsid w:val="00FA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paragraph" w:styleId="1">
    <w:name w:val="heading 1"/>
    <w:basedOn w:val="a"/>
    <w:next w:val="a"/>
    <w:uiPriority w:val="9"/>
    <w:qFormat/>
    <w:rsid w:val="00EF7B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rsid w:val="00EF7B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rFonts w:ascii="Arial" w:hAnsi="Arial" w:cs="Arial" w:hint="cs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1">
    <w:name w:val="Text1"/>
    <w:uiPriority w:val="99"/>
    <w:pPr>
      <w:widowControl w:val="0"/>
      <w:autoSpaceDE w:val="0"/>
      <w:autoSpaceDN w:val="0"/>
      <w:adjustRightInd w:val="0"/>
    </w:pPr>
    <w:rPr>
      <w:rFonts w:ascii="Arial" w:hAnsi="Arial"/>
      <w:color w:val="000000"/>
      <w:sz w:val="16"/>
    </w:rPr>
  </w:style>
  <w:style w:type="paragraph" w:customStyle="1" w:styleId="li">
    <w:name w:val="li"/>
    <w:basedOn w:val="a"/>
    <w:rPr>
      <w:rFonts w:ascii="Times New Roman" w:hAnsi="Times New Roman" w:cs="Times New Roman" w:hint="cs"/>
    </w:rPr>
  </w:style>
  <w:style w:type="paragraph" w:customStyle="1" w:styleId="p">
    <w:name w:val="p"/>
    <w:basedOn w:val="a"/>
    <w:pPr>
      <w:ind w:firstLine="450"/>
    </w:pPr>
    <w:rPr>
      <w:rFonts w:ascii="Times New Roman" w:hAnsi="Times New Roman" w:cs="Times New Roman" w:hint="cs"/>
    </w:rPr>
  </w:style>
  <w:style w:type="table" w:customStyle="1" w:styleId="table">
    <w:name w:val="table"/>
    <w:basedOn w:val="a1"/>
    <w:tblPr/>
  </w:style>
  <w:style w:type="paragraph" w:styleId="a3">
    <w:name w:val="Balloon Text"/>
    <w:basedOn w:val="a"/>
    <w:link w:val="a4"/>
    <w:uiPriority w:val="99"/>
    <w:semiHidden/>
    <w:unhideWhenUsed/>
    <w:rsid w:val="00FA1B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paragraph" w:styleId="1">
    <w:name w:val="heading 1"/>
    <w:basedOn w:val="a"/>
    <w:next w:val="a"/>
    <w:uiPriority w:val="9"/>
    <w:qFormat/>
    <w:rsid w:val="00EF7B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rsid w:val="00EF7B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rFonts w:ascii="Arial" w:hAnsi="Arial" w:cs="Arial" w:hint="cs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1">
    <w:name w:val="Text1"/>
    <w:uiPriority w:val="99"/>
    <w:pPr>
      <w:widowControl w:val="0"/>
      <w:autoSpaceDE w:val="0"/>
      <w:autoSpaceDN w:val="0"/>
      <w:adjustRightInd w:val="0"/>
    </w:pPr>
    <w:rPr>
      <w:rFonts w:ascii="Arial" w:hAnsi="Arial"/>
      <w:color w:val="000000"/>
      <w:sz w:val="16"/>
    </w:rPr>
  </w:style>
  <w:style w:type="paragraph" w:customStyle="1" w:styleId="li">
    <w:name w:val="li"/>
    <w:basedOn w:val="a"/>
    <w:rPr>
      <w:rFonts w:ascii="Times New Roman" w:hAnsi="Times New Roman" w:cs="Times New Roman" w:hint="cs"/>
    </w:rPr>
  </w:style>
  <w:style w:type="paragraph" w:customStyle="1" w:styleId="p">
    <w:name w:val="p"/>
    <w:basedOn w:val="a"/>
    <w:pPr>
      <w:ind w:firstLine="450"/>
    </w:pPr>
    <w:rPr>
      <w:rFonts w:ascii="Times New Roman" w:hAnsi="Times New Roman" w:cs="Times New Roman" w:hint="cs"/>
    </w:rPr>
  </w:style>
  <w:style w:type="table" w:customStyle="1" w:styleId="table">
    <w:name w:val="table"/>
    <w:basedOn w:val="a1"/>
    <w:tblPr/>
  </w:style>
  <w:style w:type="paragraph" w:styleId="a3">
    <w:name w:val="Balloon Text"/>
    <w:basedOn w:val="a"/>
    <w:link w:val="a4"/>
    <w:uiPriority w:val="99"/>
    <w:semiHidden/>
    <w:unhideWhenUsed/>
    <w:rsid w:val="00FA1B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53</Pages>
  <Words>16656</Words>
  <Characters>94941</Characters>
  <Application>Microsoft Office Word</Application>
  <DocSecurity>0</DocSecurity>
  <Lines>791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2016.1.0 from 17 February 2016</Company>
  <LinksUpToDate>false</LinksUpToDate>
  <CharactersWithSpaces>111375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Report</dc:subject>
  <dc:creator>Repin</dc:creator>
  <cp:lastModifiedBy>Пользователь</cp:lastModifiedBy>
  <cp:revision>4</cp:revision>
  <cp:lastPrinted>2019-01-31T14:11:00Z</cp:lastPrinted>
  <dcterms:created xsi:type="dcterms:W3CDTF">2019-01-23T14:00:00Z</dcterms:created>
  <dcterms:modified xsi:type="dcterms:W3CDTF">2019-01-31T14:14:00Z</dcterms:modified>
</cp:coreProperties>
</file>